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BC6C60" w:rsidR="00AF301E" w:rsidP="00265BE4" w:rsidRDefault="00265BE4" w14:paraId="3010A38E" wp14:textId="77777777">
      <w:pPr>
        <w:spacing w:after="0" w:line="240" w:lineRule="auto"/>
        <w:rPr>
          <w:rFonts w:asciiTheme="majorBidi" w:hAnsiTheme="majorBidi" w:cstheme="majorBidi"/>
          <w:b/>
          <w:bCs/>
          <w:sz w:val="24"/>
          <w:szCs w:val="24"/>
        </w:rPr>
      </w:pPr>
      <w:r w:rsidRPr="00BC6C60">
        <w:rPr>
          <w:rFonts w:asciiTheme="majorBidi" w:hAnsiTheme="majorBidi" w:cstheme="majorBidi"/>
          <w:b/>
          <w:bCs/>
          <w:sz w:val="24"/>
          <w:szCs w:val="24"/>
        </w:rPr>
        <w:t xml:space="preserve">Between Obedience to God and Human Morality: Philosophical Readings </w:t>
      </w:r>
      <w:r w:rsidRPr="00BC6C60">
        <w:rPr>
          <w:rStyle w:val="il"/>
          <w:rFonts w:asciiTheme="majorBidi" w:hAnsiTheme="majorBidi" w:cstheme="majorBidi"/>
          <w:b/>
          <w:bCs/>
          <w:sz w:val="24"/>
          <w:szCs w:val="24"/>
        </w:rPr>
        <w:t>of</w:t>
      </w:r>
      <w:r w:rsidRPr="00BC6C60">
        <w:rPr>
          <w:rFonts w:asciiTheme="majorBidi" w:hAnsiTheme="majorBidi" w:cstheme="majorBidi"/>
          <w:b/>
          <w:bCs/>
          <w:sz w:val="24"/>
          <w:szCs w:val="24"/>
        </w:rPr>
        <w:t xml:space="preserve"> the Binding </w:t>
      </w:r>
      <w:r w:rsidRPr="00BC6C60">
        <w:rPr>
          <w:rStyle w:val="il"/>
          <w:rFonts w:asciiTheme="majorBidi" w:hAnsiTheme="majorBidi" w:cstheme="majorBidi"/>
          <w:b/>
          <w:bCs/>
          <w:sz w:val="24"/>
          <w:szCs w:val="24"/>
        </w:rPr>
        <w:t>of</w:t>
      </w:r>
      <w:r w:rsidRPr="00BC6C60">
        <w:rPr>
          <w:rFonts w:asciiTheme="majorBidi" w:hAnsiTheme="majorBidi" w:cstheme="majorBidi"/>
          <w:b/>
          <w:bCs/>
          <w:sz w:val="24"/>
          <w:szCs w:val="24"/>
        </w:rPr>
        <w:t xml:space="preserve"> Isaac</w:t>
      </w:r>
    </w:p>
    <w:p xmlns:wp14="http://schemas.microsoft.com/office/word/2010/wordml" w:rsidRPr="00BC6C60" w:rsidR="00265BE4" w:rsidP="00EB1A6E" w:rsidRDefault="00265BE4" w14:paraId="141EF3CF" wp14:textId="77777777">
      <w:pPr>
        <w:spacing w:after="0" w:line="240" w:lineRule="auto"/>
        <w:rPr>
          <w:rFonts w:asciiTheme="majorBidi" w:hAnsiTheme="majorBidi" w:cstheme="majorBidi"/>
          <w:sz w:val="24"/>
          <w:szCs w:val="24"/>
          <w:lang w:val="de-DE"/>
        </w:rPr>
      </w:pPr>
      <w:r w:rsidRPr="00BC6C60">
        <w:rPr>
          <w:rFonts w:asciiTheme="majorBidi" w:hAnsiTheme="majorBidi" w:cstheme="majorBidi"/>
          <w:sz w:val="24"/>
          <w:szCs w:val="24"/>
          <w:lang w:val="de-DE"/>
        </w:rPr>
        <w:t>M.A. Seminar</w:t>
      </w:r>
    </w:p>
    <w:p xmlns:wp14="http://schemas.microsoft.com/office/word/2010/wordml" w:rsidRPr="00BC6C60" w:rsidR="00265BE4" w:rsidP="2AB65308" w:rsidRDefault="00265BE4" w14:paraId="536D6789" wp14:textId="5E8497DA">
      <w:pPr>
        <w:spacing w:after="0" w:line="240" w:lineRule="auto"/>
        <w:rPr>
          <w:rFonts w:ascii="Times New Roman" w:hAnsi="Times New Roman" w:cs="Times New Roman" w:asciiTheme="majorBidi" w:hAnsiTheme="majorBidi" w:cstheme="majorBidi"/>
          <w:sz w:val="24"/>
          <w:szCs w:val="24"/>
          <w:lang w:val="fr-FR"/>
        </w:rPr>
      </w:pPr>
      <w:r w:rsidRPr="2AB65308" w:rsidR="00265BE4">
        <w:rPr>
          <w:rFonts w:ascii="Times New Roman" w:hAnsi="Times New Roman" w:cs="Times New Roman" w:asciiTheme="majorBidi" w:hAnsiTheme="majorBidi" w:cstheme="majorBidi"/>
          <w:sz w:val="24"/>
          <w:szCs w:val="24"/>
          <w:lang w:val="fr-FR"/>
        </w:rPr>
        <w:t>Dr. des Tomer Raudanski</w:t>
      </w:r>
      <w:r w:rsidRPr="2AB65308" w:rsidR="78A4E679">
        <w:rPr>
          <w:rFonts w:ascii="Times New Roman" w:hAnsi="Times New Roman" w:cs="Times New Roman" w:asciiTheme="majorBidi" w:hAnsiTheme="majorBidi" w:cstheme="majorBidi"/>
          <w:sz w:val="24"/>
          <w:szCs w:val="24"/>
          <w:lang w:val="fr-FR"/>
        </w:rPr>
        <w:t xml:space="preserve"> (</w:t>
      </w:r>
      <w:r w:rsidRPr="2AB65308" w:rsidR="78A4E679">
        <w:rPr>
          <w:rFonts w:ascii="Times New Roman" w:hAnsi="Times New Roman" w:cs="Times New Roman" w:asciiTheme="majorBidi" w:hAnsiTheme="majorBidi" w:cstheme="majorBidi"/>
          <w:sz w:val="24"/>
          <w:szCs w:val="24"/>
          <w:lang w:val="fr-FR"/>
        </w:rPr>
        <w:t>tomer.raudanski</w:t>
      </w:r>
      <w:r w:rsidRPr="2AB65308" w:rsidR="78A4E679">
        <w:rPr>
          <w:rFonts w:ascii="Times New Roman" w:hAnsi="Times New Roman" w:cs="Times New Roman" w:asciiTheme="majorBidi" w:hAnsiTheme="majorBidi" w:cstheme="majorBidi"/>
          <w:sz w:val="24"/>
          <w:szCs w:val="24"/>
          <w:lang w:val="fr-FR"/>
        </w:rPr>
        <w:t>ׂ@uni-potsdam.de)</w:t>
      </w:r>
    </w:p>
    <w:p xmlns:wp14="http://schemas.microsoft.com/office/word/2010/wordml" w:rsidRPr="00BC6C60" w:rsidR="00BC6C60" w:rsidP="00265BE4" w:rsidRDefault="00BC6C60" w14:paraId="1946866A"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Mondays 12:00-14:00, Room 1.15.0.02</w:t>
      </w:r>
    </w:p>
    <w:p xmlns:wp14="http://schemas.microsoft.com/office/word/2010/wordml" w:rsidRPr="00BC6C60" w:rsidR="008B128E" w:rsidP="00F80AA8" w:rsidRDefault="00F42235" w14:paraId="02DC926D" wp14:textId="77777777">
      <w:pPr>
        <w:pStyle w:val="StandardWeb"/>
        <w:jc w:val="both"/>
        <w:rPr>
          <w:rFonts w:asciiTheme="majorBidi" w:hAnsiTheme="majorBidi" w:cstheme="majorBidi"/>
        </w:rPr>
      </w:pPr>
      <w:r w:rsidRPr="00BC6C60">
        <w:rPr>
          <w:rFonts w:asciiTheme="majorBidi" w:hAnsiTheme="majorBidi" w:cstheme="majorBidi"/>
        </w:rPr>
        <w:t>T</w:t>
      </w:r>
      <w:r w:rsidRPr="00BC6C60" w:rsidR="008B128E">
        <w:rPr>
          <w:rFonts w:asciiTheme="majorBidi" w:hAnsiTheme="majorBidi" w:cstheme="majorBidi"/>
        </w:rPr>
        <w:t xml:space="preserve">he Binding of Isaac </w:t>
      </w:r>
      <w:r w:rsidRPr="00BC6C60">
        <w:rPr>
          <w:rFonts w:asciiTheme="majorBidi" w:hAnsiTheme="majorBidi" w:cstheme="majorBidi"/>
        </w:rPr>
        <w:t>(Genesis</w:t>
      </w:r>
      <w:r w:rsidRPr="00BC6C60" w:rsidR="008B128E">
        <w:rPr>
          <w:rFonts w:asciiTheme="majorBidi" w:hAnsiTheme="majorBidi" w:cstheme="majorBidi"/>
        </w:rPr>
        <w:t xml:space="preserve"> 22) is one of the most dramatic and challenging narratives in the Hebrew Bible. It has served as a focal point of inspiration, controversy, and interpretation in both Jewish tradition and Western philosophy. This course explores the tension between divine command and ethical obligation as it emerges in the </w:t>
      </w:r>
      <w:proofErr w:type="spellStart"/>
      <w:r w:rsidRPr="00BC6C60" w:rsidR="008B128E">
        <w:rPr>
          <w:rFonts w:asciiTheme="majorBidi" w:hAnsiTheme="majorBidi" w:cstheme="majorBidi"/>
          <w:i/>
          <w:iCs/>
        </w:rPr>
        <w:t>Akedah</w:t>
      </w:r>
      <w:proofErr w:type="spellEnd"/>
      <w:r w:rsidRPr="00BC6C60" w:rsidR="008B128E">
        <w:rPr>
          <w:rFonts w:asciiTheme="majorBidi" w:hAnsiTheme="majorBidi" w:cstheme="majorBidi"/>
        </w:rPr>
        <w:t xml:space="preserve">, tracing responses from classical rabbinic interpretation (Midrash </w:t>
      </w:r>
      <w:proofErr w:type="spellStart"/>
      <w:r w:rsidRPr="00BC6C60" w:rsidR="008B128E">
        <w:rPr>
          <w:rFonts w:asciiTheme="majorBidi" w:hAnsiTheme="majorBidi" w:cstheme="majorBidi"/>
        </w:rPr>
        <w:t>Rabbah</w:t>
      </w:r>
      <w:proofErr w:type="spellEnd"/>
      <w:r w:rsidRPr="00BC6C60" w:rsidR="008803F2">
        <w:rPr>
          <w:rFonts w:asciiTheme="majorBidi" w:hAnsiTheme="majorBidi" w:cstheme="majorBidi"/>
        </w:rPr>
        <w:t xml:space="preserve">, </w:t>
      </w:r>
      <w:r w:rsidRPr="00BC6C60" w:rsidR="008803F2">
        <w:t xml:space="preserve">Midrash </w:t>
      </w:r>
      <w:proofErr w:type="spellStart"/>
      <w:r w:rsidRPr="00BC6C60" w:rsidR="008803F2">
        <w:t>Tanhuma</w:t>
      </w:r>
      <w:proofErr w:type="spellEnd"/>
      <w:r w:rsidRPr="00BC6C60" w:rsidR="008B128E">
        <w:rPr>
          <w:rFonts w:asciiTheme="majorBidi" w:hAnsiTheme="majorBidi" w:cstheme="majorBidi"/>
        </w:rPr>
        <w:t xml:space="preserve">) to modern and postmodern thinkers such as </w:t>
      </w:r>
      <w:r w:rsidRPr="00BC6C60" w:rsidR="00441717">
        <w:rPr>
          <w:rFonts w:asciiTheme="majorBidi" w:hAnsiTheme="majorBidi" w:cstheme="majorBidi"/>
        </w:rPr>
        <w:t xml:space="preserve">Philo, </w:t>
      </w:r>
      <w:r w:rsidRPr="00BC6C60" w:rsidR="008B128E">
        <w:rPr>
          <w:rFonts w:asciiTheme="majorBidi" w:hAnsiTheme="majorBidi" w:cstheme="majorBidi"/>
        </w:rPr>
        <w:t xml:space="preserve">Maimonides, Kant, Buber, Kierkegaard, </w:t>
      </w:r>
      <w:proofErr w:type="spellStart"/>
      <w:r w:rsidRPr="00BC6C60" w:rsidR="00F80AA8">
        <w:t>Lévinas</w:t>
      </w:r>
      <w:proofErr w:type="spellEnd"/>
      <w:r w:rsidRPr="00BC6C60" w:rsidR="008B128E">
        <w:rPr>
          <w:rFonts w:asciiTheme="majorBidi" w:hAnsiTheme="majorBidi" w:cstheme="majorBidi"/>
        </w:rPr>
        <w:t xml:space="preserve">, and Derrida. We will ask whether the apparent contradiction between ethics and religion can be reconciled, and if so, how. Special attention will be given to the hermeneutical and interpretive difficulties of the text itself, as well as to the way different traditions have read and re-read the story. Finally, the course will address the </w:t>
      </w:r>
      <w:proofErr w:type="spellStart"/>
      <w:r w:rsidRPr="00BC6C60" w:rsidR="008B128E">
        <w:rPr>
          <w:rFonts w:asciiTheme="majorBidi" w:hAnsiTheme="majorBidi" w:cstheme="majorBidi"/>
          <w:i/>
          <w:iCs/>
        </w:rPr>
        <w:t>Akedah</w:t>
      </w:r>
      <w:proofErr w:type="spellEnd"/>
      <w:r w:rsidRPr="00BC6C60" w:rsidR="008B128E">
        <w:rPr>
          <w:rFonts w:asciiTheme="majorBidi" w:hAnsiTheme="majorBidi" w:cstheme="majorBidi"/>
        </w:rPr>
        <w:t xml:space="preserve"> as a site of Jewish–Christian dialogue, raising broader questions about faith, morality, freedom, and interpretation across traditions.</w:t>
      </w:r>
    </w:p>
    <w:p w:rsidR="001E4FA2" w:rsidP="7C781F6B" w:rsidRDefault="001E4FA2" w14:paraId="3E4518FF" w14:textId="36C0B9B7">
      <w:pPr>
        <w:pStyle w:val="StandardWeb"/>
        <w:spacing w:before="0" w:beforeAutospacing="off" w:after="240" w:afterAutospacing="off"/>
        <w:rPr>
          <w:noProof w:val="0"/>
          <w:lang w:val="en-US"/>
        </w:rPr>
      </w:pPr>
      <w:r w:rsidRPr="7C781F6B" w:rsidR="001E4FA2">
        <w:rPr>
          <w:u w:val="single"/>
        </w:rPr>
        <w:t>Course r</w:t>
      </w:r>
      <w:r w:rsidRPr="7C781F6B" w:rsidR="001508CF">
        <w:rPr>
          <w:u w:val="single"/>
        </w:rPr>
        <w:t>equirements</w:t>
      </w:r>
      <w:r w:rsidR="001E4FA2">
        <w:rPr/>
        <w:t xml:space="preserve">: </w:t>
      </w:r>
      <w:r w:rsidR="00BC6C60">
        <w:rPr/>
        <w:t>Active participation</w:t>
      </w:r>
      <w:r w:rsidR="4CF5DB43">
        <w:rPr/>
        <w:t xml:space="preserve"> </w:t>
      </w:r>
      <w:r w:rsidRPr="7C781F6B" w:rsidR="4CF5DB43">
        <w:rPr>
          <w:noProof w:val="0"/>
          <w:lang w:val="en-US"/>
        </w:rPr>
        <w:t>and submission of three short papers (maximum 1,000 words) throughout the semester summarizing the weekly reading material in the studen</w:t>
      </w:r>
      <w:r w:rsidRPr="7C781F6B" w:rsidR="0A4B317B">
        <w:rPr>
          <w:noProof w:val="0"/>
          <w:lang w:val="en-US"/>
        </w:rPr>
        <w:t>t’</w:t>
      </w:r>
      <w:r w:rsidRPr="7C781F6B" w:rsidR="4CF5DB43">
        <w:rPr>
          <w:noProof w:val="0"/>
          <w:lang w:val="en-US"/>
        </w:rPr>
        <w:t>s own words.</w:t>
      </w:r>
    </w:p>
    <w:p w:rsidR="7C781F6B" w:rsidP="7C781F6B" w:rsidRDefault="7C781F6B" w14:paraId="358B596D" w14:textId="25B941EF">
      <w:pPr>
        <w:pStyle w:val="StandardWeb"/>
        <w:spacing w:before="0" w:beforeAutospacing="off" w:after="240" w:afterAutospacing="off"/>
        <w:rPr>
          <w:noProof w:val="0"/>
          <w:lang w:val="en-US"/>
        </w:rPr>
      </w:pPr>
    </w:p>
    <w:p xmlns:wp14="http://schemas.microsoft.com/office/word/2010/wordml" w:rsidRPr="00BC6C60" w:rsidR="00265BE4" w:rsidP="00265BE4" w:rsidRDefault="00265BE4" w14:paraId="68A352D1"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Session 1: Introduction</w:t>
      </w:r>
    </w:p>
    <w:p xmlns:wp14="http://schemas.microsoft.com/office/word/2010/wordml" w:rsidRPr="00BC6C60" w:rsidR="00265BE4" w:rsidP="00265BE4" w:rsidRDefault="00265BE4" w14:paraId="2A761687"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Genesis 22</w:t>
      </w:r>
    </w:p>
    <w:p xmlns:wp14="http://schemas.microsoft.com/office/word/2010/wordml" w:rsidRPr="00BC6C60" w:rsidR="00265BE4" w:rsidP="00265BE4" w:rsidRDefault="00265BE4" w14:paraId="672A6659" wp14:textId="77777777">
      <w:pPr>
        <w:spacing w:after="0" w:line="240" w:lineRule="auto"/>
        <w:rPr>
          <w:rFonts w:asciiTheme="majorBidi" w:hAnsiTheme="majorBidi" w:cstheme="majorBidi"/>
          <w:sz w:val="24"/>
          <w:szCs w:val="24"/>
        </w:rPr>
      </w:pPr>
    </w:p>
    <w:p xmlns:wp14="http://schemas.microsoft.com/office/word/2010/wordml" w:rsidRPr="00BC6C60" w:rsidR="0032532A" w:rsidP="0032532A" w:rsidRDefault="0032532A" w14:paraId="638C95C8"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Session 2: Hermeneutical questions and philosophical argumentation</w:t>
      </w:r>
    </w:p>
    <w:p xmlns:wp14="http://schemas.microsoft.com/office/word/2010/wordml" w:rsidRPr="00BC6C60" w:rsidR="0032532A" w:rsidP="0032532A" w:rsidRDefault="0032532A" w14:paraId="7462C09C"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{"citationID":"duKLJ1If","properties":{"formattedCitation":"Ze\\uc0\\u8217{}ev Levy, \\uc0\\u8220{}On the Aquedah in Modern Philosophy,\\uc0\\u8221{} {\\i{}Journal of Jewish Thought and Philosophy} 15, no. 1 (2007): 85\\uc0\\u8211{}108, https://doi.org/10.1163/105369907781148560.","plainCitation":"Ze’ev Levy, “On the Aquedah in Modern Philosophy,” Journal of Jewish Thought and Philosophy 15, no. 1 (2007): 85–108, https://doi.org/10.1163/105369907781148560.","noteIndex":0},"citationItems":[{"id":126,"uris":["http://zotero.org/users/17607884/items/8RAJLUNM"],"itemData":{"id":126,"type":"article-journal","container-title":"Journal of Jewish Thought and Philosophy","DOI":"10.1163/105369907781148560","issue":"1","note":"publisher: Brill Academic Publishers","page":"85–108","source":"PhilPapers","title":"On the Aquedah in Modern Philosophy","volume":"15","author":[{"family":"Levy","given":"Ze'ev"}],"issued":{"date-parts":[["2007"]]}}}],"schema":"https://github.com/citation-style-language/schema/raw/master/csl-citation.json"}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Ze’ev Levy, “On the Aquedah in Modern Philosophy,” </w:t>
      </w:r>
      <w:r w:rsidRPr="00BC6C60">
        <w:rPr>
          <w:rFonts w:asciiTheme="majorBidi" w:hAnsiTheme="majorBidi" w:cstheme="majorBidi"/>
          <w:i/>
          <w:iCs/>
          <w:sz w:val="24"/>
          <w:szCs w:val="24"/>
        </w:rPr>
        <w:t>Journal of Jewish Thought and Philosophy</w:t>
      </w:r>
      <w:r w:rsidRPr="00BC6C60">
        <w:rPr>
          <w:rFonts w:asciiTheme="majorBidi" w:hAnsiTheme="majorBidi" w:cstheme="majorBidi"/>
          <w:sz w:val="24"/>
          <w:szCs w:val="24"/>
        </w:rPr>
        <w:t xml:space="preserve"> 15, no. 1 (2007): 85–108, https://doi.org/10.1163/105369907781148560.</w:t>
      </w:r>
      <w:r w:rsidRPr="00BC6C60">
        <w:rPr>
          <w:rFonts w:asciiTheme="majorBidi" w:hAnsiTheme="majorBidi" w:cstheme="majorBidi"/>
          <w:sz w:val="24"/>
          <w:szCs w:val="24"/>
        </w:rPr>
        <w:fldChar w:fldCharType="end"/>
      </w:r>
    </w:p>
    <w:p xmlns:wp14="http://schemas.microsoft.com/office/word/2010/wordml" w:rsidRPr="00BC6C60" w:rsidR="0032532A" w:rsidP="00F64E00" w:rsidRDefault="0032532A" w14:paraId="0A37501D" wp14:textId="77777777">
      <w:pPr>
        <w:spacing w:after="0" w:line="240" w:lineRule="auto"/>
        <w:rPr>
          <w:rFonts w:asciiTheme="majorBidi" w:hAnsiTheme="majorBidi" w:cstheme="majorBidi"/>
          <w:sz w:val="24"/>
          <w:szCs w:val="24"/>
          <w:u w:val="single"/>
        </w:rPr>
      </w:pPr>
    </w:p>
    <w:p xmlns:wp14="http://schemas.microsoft.com/office/word/2010/wordml" w:rsidRPr="00BC6C60" w:rsidR="00ED69FC" w:rsidP="0032532A" w:rsidRDefault="005E4C48" w14:paraId="6C592D93"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w:t>
      </w:r>
      <w:r w:rsidRPr="00BC6C60" w:rsidR="0032532A">
        <w:rPr>
          <w:rFonts w:asciiTheme="majorBidi" w:hAnsiTheme="majorBidi" w:cstheme="majorBidi"/>
          <w:sz w:val="24"/>
          <w:szCs w:val="24"/>
          <w:u w:val="single"/>
        </w:rPr>
        <w:t>3</w:t>
      </w:r>
      <w:r w:rsidRPr="00BC6C60">
        <w:rPr>
          <w:rFonts w:asciiTheme="majorBidi" w:hAnsiTheme="majorBidi" w:cstheme="majorBidi"/>
          <w:sz w:val="24"/>
          <w:szCs w:val="24"/>
          <w:u w:val="single"/>
        </w:rPr>
        <w:t xml:space="preserve">: Maimonides on </w:t>
      </w:r>
      <w:r w:rsidRPr="00BC6C60" w:rsidR="00267AEC">
        <w:rPr>
          <w:rFonts w:asciiTheme="majorBidi" w:hAnsiTheme="majorBidi" w:cstheme="majorBidi"/>
          <w:sz w:val="24"/>
          <w:szCs w:val="24"/>
          <w:u w:val="single"/>
        </w:rPr>
        <w:t xml:space="preserve">prophetic visions </w:t>
      </w:r>
      <w:r w:rsidRPr="00BC6C60" w:rsidR="00ED69FC">
        <w:rPr>
          <w:rFonts w:asciiTheme="majorBidi" w:hAnsiTheme="majorBidi" w:cstheme="majorBidi"/>
          <w:sz w:val="24"/>
          <w:szCs w:val="24"/>
          <w:u w:val="single"/>
        </w:rPr>
        <w:t xml:space="preserve">and the apparent contradiction in God’s </w:t>
      </w:r>
      <w:r w:rsidRPr="00BC6C60" w:rsidR="00F64E00">
        <w:rPr>
          <w:rFonts w:asciiTheme="majorBidi" w:hAnsiTheme="majorBidi" w:cstheme="majorBidi"/>
          <w:sz w:val="24"/>
          <w:szCs w:val="24"/>
          <w:u w:val="single"/>
        </w:rPr>
        <w:t>w</w:t>
      </w:r>
      <w:r w:rsidRPr="00BC6C60" w:rsidR="00ED69FC">
        <w:rPr>
          <w:rFonts w:asciiTheme="majorBidi" w:hAnsiTheme="majorBidi" w:cstheme="majorBidi"/>
          <w:sz w:val="24"/>
          <w:szCs w:val="24"/>
          <w:u w:val="single"/>
        </w:rPr>
        <w:t>ill</w:t>
      </w:r>
    </w:p>
    <w:p xmlns:wp14="http://schemas.microsoft.com/office/word/2010/wordml" w:rsidRPr="00BC6C60" w:rsidR="00484858" w:rsidP="00484858" w:rsidRDefault="00484858" w14:paraId="5EA616A1" wp14:textId="77777777">
      <w:pPr>
        <w:spacing w:after="0" w:line="240" w:lineRule="auto"/>
        <w:rPr>
          <w:rFonts w:asciiTheme="majorBidi" w:hAnsiTheme="majorBidi" w:cstheme="majorBidi"/>
          <w:sz w:val="24"/>
          <w:szCs w:val="24"/>
          <w:rtl/>
        </w:rPr>
      </w:pPr>
      <w:r w:rsidRPr="00BC6C60">
        <w:rPr>
          <w:rFonts w:asciiTheme="majorBidi" w:hAnsiTheme="majorBidi" w:cstheme="majorBidi"/>
          <w:sz w:val="24"/>
          <w:szCs w:val="24"/>
        </w:rPr>
        <w:t xml:space="preserve">Maimonides, </w:t>
      </w:r>
      <w:r w:rsidRPr="00BC6C60">
        <w:rPr>
          <w:rFonts w:asciiTheme="majorBidi" w:hAnsiTheme="majorBidi" w:cstheme="majorBidi"/>
          <w:i/>
          <w:iCs/>
          <w:sz w:val="24"/>
          <w:szCs w:val="24"/>
        </w:rPr>
        <w:t>Guide of the Perplexed</w:t>
      </w:r>
      <w:r w:rsidRPr="00BC6C60">
        <w:rPr>
          <w:rFonts w:asciiTheme="majorBidi" w:hAnsiTheme="majorBidi" w:cstheme="majorBidi"/>
          <w:sz w:val="24"/>
          <w:szCs w:val="24"/>
        </w:rPr>
        <w:t xml:space="preserve"> II 32, 36 (first seven paragraphs), 41, 42, 45. </w:t>
      </w:r>
    </w:p>
    <w:p xmlns:wp14="http://schemas.microsoft.com/office/word/2010/wordml" w:rsidRPr="00BC6C60" w:rsidR="00484858" w:rsidP="00484858" w:rsidRDefault="00484858" w14:paraId="3B6AA530"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Maimonides</w:t>
      </w:r>
      <w:r w:rsidRPr="00BC6C60">
        <w:rPr>
          <w:rFonts w:asciiTheme="majorBidi" w:hAnsiTheme="majorBidi" w:cstheme="majorBidi"/>
          <w:i/>
          <w:iCs/>
          <w:sz w:val="24"/>
          <w:szCs w:val="24"/>
        </w:rPr>
        <w:t xml:space="preserve">, Guide of the Perplexed, </w:t>
      </w:r>
      <w:r w:rsidRPr="00BC6C60">
        <w:rPr>
          <w:rFonts w:asciiTheme="majorBidi" w:hAnsiTheme="majorBidi" w:cstheme="majorBidi"/>
          <w:sz w:val="24"/>
          <w:szCs w:val="24"/>
        </w:rPr>
        <w:t>III 24.</w:t>
      </w:r>
    </w:p>
    <w:p xmlns:wp14="http://schemas.microsoft.com/office/word/2010/wordml" w:rsidRPr="00BC6C60" w:rsidR="00484858" w:rsidP="001E4001" w:rsidRDefault="00484858" w14:paraId="25E33AAE" wp14:textId="77777777">
      <w:pPr>
        <w:spacing w:after="0" w:line="240" w:lineRule="auto"/>
        <w:rPr>
          <w:rFonts w:asciiTheme="majorBidi" w:hAnsiTheme="majorBidi" w:cstheme="majorBidi"/>
          <w:sz w:val="24"/>
          <w:szCs w:val="24"/>
        </w:rPr>
      </w:pPr>
      <w:r w:rsidRPr="00BC6C60">
        <w:rPr>
          <w:rFonts w:eastAsia="Times New Roman" w:asciiTheme="majorBidi" w:hAnsiTheme="majorBidi" w:cstheme="majorBidi"/>
          <w:sz w:val="24"/>
          <w:szCs w:val="24"/>
        </w:rPr>
        <w:t>Maimonides, “Laws of the Foundations of the Torah” (</w:t>
      </w:r>
      <w:proofErr w:type="spellStart"/>
      <w:r w:rsidRPr="00BC6C60">
        <w:rPr>
          <w:rFonts w:eastAsia="Times New Roman" w:asciiTheme="majorBidi" w:hAnsiTheme="majorBidi" w:cstheme="majorBidi"/>
          <w:sz w:val="24"/>
          <w:szCs w:val="24"/>
        </w:rPr>
        <w:t>Hilchot</w:t>
      </w:r>
      <w:proofErr w:type="spellEnd"/>
      <w:r w:rsidRPr="00BC6C60">
        <w:rPr>
          <w:rFonts w:eastAsia="Times New Roman" w:asciiTheme="majorBidi" w:hAnsiTheme="majorBidi" w:cstheme="majorBidi"/>
          <w:sz w:val="24"/>
          <w:szCs w:val="24"/>
        </w:rPr>
        <w:t xml:space="preserve"> </w:t>
      </w:r>
      <w:proofErr w:type="spellStart"/>
      <w:r w:rsidRPr="00BC6C60">
        <w:rPr>
          <w:rFonts w:eastAsia="Times New Roman" w:asciiTheme="majorBidi" w:hAnsiTheme="majorBidi" w:cstheme="majorBidi"/>
          <w:sz w:val="24"/>
          <w:szCs w:val="24"/>
        </w:rPr>
        <w:t>Yesodei</w:t>
      </w:r>
      <w:proofErr w:type="spellEnd"/>
      <w:r w:rsidRPr="00BC6C60">
        <w:rPr>
          <w:rFonts w:eastAsia="Times New Roman" w:asciiTheme="majorBidi" w:hAnsiTheme="majorBidi" w:cstheme="majorBidi"/>
          <w:sz w:val="24"/>
          <w:szCs w:val="24"/>
        </w:rPr>
        <w:t xml:space="preserve"> </w:t>
      </w:r>
      <w:proofErr w:type="spellStart"/>
      <w:r w:rsidRPr="00BC6C60">
        <w:rPr>
          <w:rFonts w:eastAsia="Times New Roman" w:asciiTheme="majorBidi" w:hAnsiTheme="majorBidi" w:cstheme="majorBidi"/>
          <w:sz w:val="24"/>
          <w:szCs w:val="24"/>
        </w:rPr>
        <w:t>HaTorah</w:t>
      </w:r>
      <w:proofErr w:type="spellEnd"/>
      <w:r w:rsidRPr="00BC6C60">
        <w:rPr>
          <w:rFonts w:eastAsia="Times New Roman" w:asciiTheme="majorBidi" w:hAnsiTheme="majorBidi" w:cstheme="majorBidi"/>
          <w:sz w:val="24"/>
          <w:szCs w:val="24"/>
        </w:rPr>
        <w:t xml:space="preserve">), in </w:t>
      </w:r>
      <w:proofErr w:type="spellStart"/>
      <w:r w:rsidRPr="00BC6C60">
        <w:rPr>
          <w:rFonts w:eastAsia="Times New Roman" w:asciiTheme="majorBidi" w:hAnsiTheme="majorBidi" w:cstheme="majorBidi"/>
          <w:i/>
          <w:iCs/>
          <w:sz w:val="24"/>
          <w:szCs w:val="24"/>
        </w:rPr>
        <w:t>Mishneh</w:t>
      </w:r>
      <w:proofErr w:type="spellEnd"/>
      <w:r w:rsidRPr="00BC6C60">
        <w:rPr>
          <w:rFonts w:eastAsia="Times New Roman" w:asciiTheme="majorBidi" w:hAnsiTheme="majorBidi" w:cstheme="majorBidi"/>
          <w:i/>
          <w:iCs/>
          <w:sz w:val="24"/>
          <w:szCs w:val="24"/>
        </w:rPr>
        <w:t xml:space="preserve"> Torah </w:t>
      </w:r>
      <w:r w:rsidRPr="00BC6C60">
        <w:rPr>
          <w:rFonts w:eastAsia="Times New Roman" w:asciiTheme="majorBidi" w:hAnsiTheme="majorBidi" w:cstheme="majorBidi"/>
          <w:sz w:val="24"/>
          <w:szCs w:val="24"/>
        </w:rPr>
        <w:t>(</w:t>
      </w:r>
      <w:proofErr w:type="spellStart"/>
      <w:r w:rsidR="001E4001">
        <w:rPr>
          <w:rFonts w:asciiTheme="majorBidi" w:hAnsiTheme="majorBidi" w:cstheme="majorBidi"/>
          <w:sz w:val="24"/>
          <w:szCs w:val="24"/>
        </w:rPr>
        <w:t>Sefer</w:t>
      </w:r>
      <w:proofErr w:type="spellEnd"/>
      <w:r w:rsidR="001E4001">
        <w:rPr>
          <w:rFonts w:asciiTheme="majorBidi" w:hAnsiTheme="majorBidi" w:cstheme="majorBidi"/>
          <w:sz w:val="24"/>
          <w:szCs w:val="24"/>
        </w:rPr>
        <w:t xml:space="preserve"> </w:t>
      </w:r>
      <w:proofErr w:type="spellStart"/>
      <w:r w:rsidR="001E4001">
        <w:rPr>
          <w:rFonts w:asciiTheme="majorBidi" w:hAnsiTheme="majorBidi" w:cstheme="majorBidi"/>
          <w:sz w:val="24"/>
          <w:szCs w:val="24"/>
        </w:rPr>
        <w:t>H</w:t>
      </w:r>
      <w:r w:rsidRPr="00BC6C60">
        <w:rPr>
          <w:rFonts w:asciiTheme="majorBidi" w:hAnsiTheme="majorBidi" w:cstheme="majorBidi"/>
          <w:sz w:val="24"/>
          <w:szCs w:val="24"/>
        </w:rPr>
        <w:t>a</w:t>
      </w:r>
      <w:r w:rsidR="001E4001">
        <w:rPr>
          <w:rFonts w:asciiTheme="majorBidi" w:hAnsiTheme="majorBidi" w:cstheme="majorBidi"/>
          <w:sz w:val="24"/>
          <w:szCs w:val="24"/>
        </w:rPr>
        <w:t>’m</w:t>
      </w:r>
      <w:r w:rsidRPr="00BC6C60">
        <w:rPr>
          <w:rFonts w:asciiTheme="majorBidi" w:hAnsiTheme="majorBidi" w:cstheme="majorBidi"/>
          <w:sz w:val="24"/>
          <w:szCs w:val="24"/>
        </w:rPr>
        <w:t>adda</w:t>
      </w:r>
      <w:proofErr w:type="spellEnd"/>
      <w:r w:rsidRPr="00BC6C60">
        <w:rPr>
          <w:rFonts w:asciiTheme="majorBidi" w:hAnsiTheme="majorBidi" w:cstheme="majorBidi"/>
          <w:sz w:val="24"/>
          <w:szCs w:val="24"/>
        </w:rPr>
        <w:t>)</w:t>
      </w:r>
      <w:r w:rsidRPr="00BC6C60">
        <w:rPr>
          <w:rFonts w:eastAsia="Times New Roman" w:asciiTheme="majorBidi" w:hAnsiTheme="majorBidi" w:cstheme="majorBidi"/>
          <w:sz w:val="24"/>
          <w:szCs w:val="24"/>
        </w:rPr>
        <w:t>, Chapter 7.</w:t>
      </w:r>
    </w:p>
    <w:p xmlns:wp14="http://schemas.microsoft.com/office/word/2010/wordml" w:rsidRPr="00BC6C60" w:rsidR="00484858" w:rsidP="001A1DBB" w:rsidRDefault="00484858" w14:paraId="5DAB6C7B" wp14:textId="77777777">
      <w:pPr>
        <w:spacing w:after="0" w:line="240" w:lineRule="auto"/>
        <w:rPr>
          <w:rFonts w:asciiTheme="majorBidi" w:hAnsiTheme="majorBidi" w:cstheme="majorBidi"/>
          <w:sz w:val="24"/>
          <w:szCs w:val="24"/>
        </w:rPr>
      </w:pPr>
    </w:p>
    <w:p xmlns:wp14="http://schemas.microsoft.com/office/word/2010/wordml" w:rsidRPr="00BC6C60" w:rsidR="001224F2" w:rsidP="001508CF" w:rsidRDefault="001508CF" w14:paraId="69051B4C"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Optional</w:t>
      </w:r>
      <w:r w:rsidRPr="00BC6C60" w:rsidR="00E61187">
        <w:rPr>
          <w:rFonts w:asciiTheme="majorBidi" w:hAnsiTheme="majorBidi" w:cstheme="majorBidi"/>
          <w:sz w:val="24"/>
          <w:szCs w:val="24"/>
        </w:rPr>
        <w:t>:</w:t>
      </w:r>
    </w:p>
    <w:p xmlns:wp14="http://schemas.microsoft.com/office/word/2010/wordml" w:rsidRPr="00BC6C60" w:rsidR="00ED69FC" w:rsidP="00ED69FC" w:rsidRDefault="00ED69FC" w14:paraId="77C8D2C0"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{"citationID":"X3aYbV0O","properties":{"formattedCitation":"Aaron Koller, {\\i{}Unbinding Isaac: The Significance of the Akedah for Modern Jewish Thought} (Jewish Publication Society, 2020), 127\\uc0\\u8211{}40, https://muse.jhu.edu/pub/199/monograph/book/74943.","plainCitation":"Aaron Koller, Unbinding Isaac: The Significance of the Akedah for Modern Jewish Thought (Jewish Publication Society, 2020), 127–40, https://muse.jhu.edu/pub/199/monograph/book/74943.","dontUpdate":true,"noteIndex":0},"citationItems":[{"id":28,"uris":["http://zotero.org/users/17607884/items/AEECQWNM"],"itemData":{"id":28,"type":"book","abstract":"Unbinding Isaac takes readers on a trek of discovery for our times into the binding of Isaac story. Nineteenth-century Danish philosopher Søren Kierkegaard viewed the story as teaching suspension of ethics for the sake of faith, and subsequent Jewish thinkers developed this idea as a cornerstone of their religious worldview. Aaron Koller examines and critiques Kierkegaard’s perspective—and later incarnations of it—on textual, religious, and ethical grounds. He also explores the current of criticism of Abraham in Jewish thought, from ancient poems and midrashim to contemporary Israel narratives, as well as Jewish responses to the Akedah over the generations. Finally, bringing together these multiple strands of thought—along with modern knowledge of human sacrifice in the Phoenician world—Koller offers an original reading of the Akedah. The biblical God would like to want child sacrifice—because it is in fact a remarkable display of devotion—but more than that, he does not want child sacrifice because it would violate the child’s autonomy. Thus, the high point in the drama is not the binding of Isaac but the moment when Abraham is told to release him. The Torah does not allow child sacrifice, though by contrast, some of Israel’s neighbors viewed it as a religiously inspiring act. The binding of Isaac teaches us that an authentically religious act cannot be done through the harm of another human being. Download a Study Guide","event-place":"Philadelphia","ISBN":"978-0-8276-1845-9","publisher":"The Jewish Publication Society, University of Nebraska Press","publisher-place":"Philadelphia","title":"Unbinding Isaac: The Significance of the Akedah for Modern Jewish Thought","title-short":"Unbinding Isaac","author":[{"family":"Koller","given":"Aaron J."}],"accessed":{"date-parts":[["2025",8,27]]},"issued":{"date-parts":[["2020"]]}},"locator":"127-140","label":"page"}],"schema":"https://github.com/citation-style-language/schema/raw/master/csl-citation.json"}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Aaron Koller, </w:t>
      </w:r>
      <w:r w:rsidRPr="00BC6C60">
        <w:rPr>
          <w:rFonts w:asciiTheme="majorBidi" w:hAnsiTheme="majorBidi" w:cstheme="majorBidi"/>
          <w:i/>
          <w:iCs/>
          <w:sz w:val="24"/>
          <w:szCs w:val="24"/>
        </w:rPr>
        <w:t>Unbinding Isaac: The Significance of the Akedah for Modern Jewish Thought</w:t>
      </w:r>
      <w:r w:rsidRPr="00BC6C60">
        <w:rPr>
          <w:rFonts w:asciiTheme="majorBidi" w:hAnsiTheme="majorBidi" w:cstheme="majorBidi"/>
          <w:sz w:val="24"/>
          <w:szCs w:val="24"/>
        </w:rPr>
        <w:t xml:space="preserve"> (Jewish Publication Society, 2020), 127–40.</w:t>
      </w:r>
      <w:r w:rsidRPr="00BC6C60">
        <w:rPr>
          <w:rFonts w:asciiTheme="majorBidi" w:hAnsiTheme="majorBidi" w:cstheme="majorBidi"/>
          <w:sz w:val="24"/>
          <w:szCs w:val="24"/>
        </w:rPr>
        <w:fldChar w:fldCharType="end"/>
      </w:r>
    </w:p>
    <w:p xmlns:wp14="http://schemas.microsoft.com/office/word/2010/wordml" w:rsidRPr="00BC6C60" w:rsidR="001224F2" w:rsidP="0000554D" w:rsidRDefault="001224F2" w14:paraId="6D96D069" wp14:textId="77777777">
      <w:pPr>
        <w:pStyle w:val="Funotentext"/>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00554D">
        <w:rPr>
          <w:rFonts w:asciiTheme="majorBidi" w:hAnsiTheme="majorBidi" w:cstheme="majorBidi"/>
          <w:sz w:val="24"/>
          <w:szCs w:val="24"/>
        </w:rPr>
        <w:instrText xml:space="preserve"> ADDIN ZOTERO_ITEM CSL_CITATION {"citationID":"i5PxHKD9","properties":{"formattedCitation":"Moshe Halbertal, {\\i{}Maimonides: Life and Thought} (Princeton University Press, 2013), 208\\uc0\\u8211{}16, 321\\uc0\\u8211{}29.","plainCitation":"Moshe Halbertal, Maimonides: Life and Thought (Princeton University Press, 2013), 208–16, 321–29.","noteIndex":0},"citationItems":[{"id":86,"uris":["http://zotero.org/users/17607884/items/VRRC5SCR"],"itemData":{"id":86,"type":"book","abstract":"A comprehensive and accessible account of the life and thought of Judaism's most celebrated philosopherMaimonides was the greatest Jewish philosopher and legal scholar of the medieval period, a towering figure who has had a profound and lasting influence on Jewish law, philosophy, and religious consciousness. This book provides a comprehensive and accessible introduction to his life and work, revealing how his philosophical sensibility and outlook informed his interpretation of Jewish tradition.Moshe Halbertal vividly describes Maimonides's childhood in Muslim Spain, his family's flight to North Africa to escape persecution, and their eventual resettling in Egypt. He draws on Maimonides's letters and the testimonies of his contemporaries, both Muslims and Jews, to offer new insights into his personality and the circumstances that shaped his thinking. Halbertal then turns to Maimonides's legal and philosophical work, analyzing his three great books—Commentary on the Mishnah, the Mishneh Torah, and the Guide of the Perplexed. He discusses Maimonides's battle against all attempts to personify God, his conviction that God's presence in the world is mediated through the natural order rather than through miracles, and his locating of philosophy and science at the summit of the religious life of Torah. Halbertal examines Maimonides's philosophical positions on fundamental questions such as the nature and limits of religious language, creation and nature, prophecy, providence, the problem of evil, and the meaning of the commandments.A stunning achievement, Maimonides offers an unparalleled look at the life and thought of this important Jewish philosopher, scholar, and theologian.","event-place":"Princeton and Oxford","ISBN":"978-1-4008-4847-8","language":"en","note":"Google-Books-ID: UY2GAAAAQBAJ","number-of-pages":"399","publisher":"Princeton University Press","publisher-place":"Princeton and Oxford","source":"Google Books","title":"Maimonides: Life and Thought","title-short":"Maimonides","author":[{"family":"Halbertal","given":"Moshe"}],"issued":{"date-parts":[["2013"]]}},"locator":"208-216, 321-329","label":"page"}],"schema":"https://github.com/citation-style-language/schema/raw/master/csl-citation.json"} </w:instrText>
      </w:r>
      <w:r w:rsidRPr="00BC6C60">
        <w:rPr>
          <w:rFonts w:asciiTheme="majorBidi" w:hAnsiTheme="majorBidi" w:cstheme="majorBidi"/>
          <w:sz w:val="24"/>
          <w:szCs w:val="24"/>
        </w:rPr>
        <w:fldChar w:fldCharType="separate"/>
      </w:r>
      <w:r w:rsidRPr="00BC6C60" w:rsidR="0000554D">
        <w:rPr>
          <w:rFonts w:asciiTheme="majorBidi" w:hAnsiTheme="majorBidi" w:cstheme="majorBidi"/>
          <w:sz w:val="24"/>
          <w:szCs w:val="24"/>
        </w:rPr>
        <w:t xml:space="preserve">Moshe Halbertal, </w:t>
      </w:r>
      <w:r w:rsidRPr="00BC6C60" w:rsidR="0000554D">
        <w:rPr>
          <w:rFonts w:asciiTheme="majorBidi" w:hAnsiTheme="majorBidi" w:cstheme="majorBidi"/>
          <w:i/>
          <w:iCs/>
          <w:sz w:val="24"/>
          <w:szCs w:val="24"/>
        </w:rPr>
        <w:t>Maimonides: Life and Thought</w:t>
      </w:r>
      <w:r w:rsidRPr="00BC6C60" w:rsidR="0000554D">
        <w:rPr>
          <w:rFonts w:asciiTheme="majorBidi" w:hAnsiTheme="majorBidi" w:cstheme="majorBidi"/>
          <w:sz w:val="24"/>
          <w:szCs w:val="24"/>
        </w:rPr>
        <w:t xml:space="preserve"> (Princeton University Press, 2013), 208–16, 321–29.</w:t>
      </w:r>
      <w:r w:rsidRPr="00BC6C60">
        <w:rPr>
          <w:rFonts w:asciiTheme="majorBidi" w:hAnsiTheme="majorBidi" w:cstheme="majorBidi"/>
          <w:sz w:val="24"/>
          <w:szCs w:val="24"/>
        </w:rPr>
        <w:fldChar w:fldCharType="end"/>
      </w:r>
    </w:p>
    <w:p xmlns:wp14="http://schemas.microsoft.com/office/word/2010/wordml" w:rsidRPr="00BC6C60" w:rsidR="0032532A" w:rsidP="0032532A" w:rsidRDefault="0032532A" w14:paraId="48E25666" wp14:textId="77777777">
      <w:pPr>
        <w:pStyle w:val="Funotentext"/>
        <w:rPr>
          <w:rFonts w:asciiTheme="majorBidi" w:hAnsiTheme="majorBidi" w:cstheme="majorBidi"/>
          <w:sz w:val="24"/>
          <w:szCs w:val="24"/>
        </w:rPr>
      </w:pPr>
      <w:r w:rsidRPr="00BC6C60">
        <w:rPr>
          <w:rFonts w:asciiTheme="majorBidi" w:hAnsiTheme="majorBidi" w:cstheme="majorBidi"/>
          <w:sz w:val="24"/>
          <w:szCs w:val="24"/>
        </w:rPr>
        <w:t xml:space="preserve">Josef Stern, “The Unbinding of Isaac. Maimonides on the </w:t>
      </w:r>
      <w:proofErr w:type="spellStart"/>
      <w:r w:rsidRPr="00BC6C60">
        <w:rPr>
          <w:rFonts w:asciiTheme="majorBidi" w:hAnsiTheme="majorBidi" w:cstheme="majorBidi"/>
          <w:sz w:val="24"/>
          <w:szCs w:val="24"/>
        </w:rPr>
        <w:t>Aqedah</w:t>
      </w:r>
      <w:proofErr w:type="spellEnd"/>
      <w:r w:rsidRPr="00BC6C60">
        <w:rPr>
          <w:rFonts w:asciiTheme="majorBidi" w:hAnsiTheme="majorBidi" w:cstheme="majorBidi"/>
          <w:sz w:val="24"/>
          <w:szCs w:val="24"/>
        </w:rPr>
        <w:t>”, in Biblical Narratives and Human Flourishing (</w:t>
      </w:r>
      <w:proofErr w:type="spellStart"/>
      <w:r w:rsidRPr="00BC6C60">
        <w:rPr>
          <w:rFonts w:asciiTheme="majorBidi" w:hAnsiTheme="majorBidi" w:cstheme="majorBidi"/>
          <w:sz w:val="24"/>
          <w:szCs w:val="24"/>
        </w:rPr>
        <w:t>Routledge</w:t>
      </w:r>
      <w:proofErr w:type="spellEnd"/>
      <w:r w:rsidRPr="00BC6C60">
        <w:rPr>
          <w:rFonts w:asciiTheme="majorBidi" w:hAnsiTheme="majorBidi" w:cstheme="majorBidi"/>
          <w:sz w:val="24"/>
          <w:szCs w:val="24"/>
        </w:rPr>
        <w:t>, 2024), 43-61.</w:t>
      </w:r>
    </w:p>
    <w:p xmlns:wp14="http://schemas.microsoft.com/office/word/2010/wordml" w:rsidRPr="00BC6C60" w:rsidR="001224F2" w:rsidP="00E61187" w:rsidRDefault="001224F2" w14:paraId="02EB378F" wp14:textId="77777777">
      <w:pPr>
        <w:spacing w:after="0" w:line="240" w:lineRule="auto"/>
        <w:rPr>
          <w:rFonts w:asciiTheme="majorBidi" w:hAnsiTheme="majorBidi" w:cstheme="majorBidi"/>
          <w:sz w:val="24"/>
          <w:szCs w:val="24"/>
        </w:rPr>
      </w:pPr>
    </w:p>
    <w:p xmlns:wp14="http://schemas.microsoft.com/office/word/2010/wordml" w:rsidRPr="00BC6C60" w:rsidR="001224F2" w:rsidP="0032532A" w:rsidRDefault="00E61187" w14:paraId="65399ABB"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w:t>
      </w:r>
      <w:r w:rsidRPr="00BC6C60" w:rsidR="0032532A">
        <w:rPr>
          <w:rFonts w:asciiTheme="majorBidi" w:hAnsiTheme="majorBidi" w:cstheme="majorBidi"/>
          <w:sz w:val="24"/>
          <w:szCs w:val="24"/>
          <w:u w:val="single"/>
        </w:rPr>
        <w:t>4</w:t>
      </w:r>
      <w:r w:rsidRPr="00BC6C60" w:rsidR="001224F2">
        <w:rPr>
          <w:rFonts w:asciiTheme="majorBidi" w:hAnsiTheme="majorBidi" w:cstheme="majorBidi"/>
          <w:sz w:val="24"/>
          <w:szCs w:val="24"/>
          <w:u w:val="single"/>
        </w:rPr>
        <w:t xml:space="preserve">: </w:t>
      </w:r>
      <w:r w:rsidRPr="00BC6C60" w:rsidR="00926435">
        <w:rPr>
          <w:rFonts w:asciiTheme="majorBidi" w:hAnsiTheme="majorBidi" w:cstheme="majorBidi"/>
          <w:sz w:val="24"/>
          <w:szCs w:val="24"/>
          <w:u w:val="single"/>
        </w:rPr>
        <w:t xml:space="preserve">Maimonides’ </w:t>
      </w:r>
      <w:r w:rsidRPr="00BC6C60" w:rsidR="00267AEC">
        <w:rPr>
          <w:rFonts w:asciiTheme="majorBidi" w:hAnsiTheme="majorBidi" w:cstheme="majorBidi"/>
          <w:sz w:val="24"/>
          <w:szCs w:val="24"/>
          <w:u w:val="single"/>
        </w:rPr>
        <w:t xml:space="preserve">esotericism and </w:t>
      </w:r>
      <w:proofErr w:type="spellStart"/>
      <w:r w:rsidRPr="00BC6C60" w:rsidR="00267AEC">
        <w:rPr>
          <w:rFonts w:asciiTheme="majorBidi" w:hAnsiTheme="majorBidi" w:cstheme="majorBidi"/>
          <w:sz w:val="24"/>
          <w:szCs w:val="24"/>
          <w:u w:val="single"/>
        </w:rPr>
        <w:t>theopolitic</w:t>
      </w:r>
      <w:r w:rsidRPr="00BC6C60" w:rsidR="00F64E00">
        <w:rPr>
          <w:rFonts w:asciiTheme="majorBidi" w:hAnsiTheme="majorBidi" w:cstheme="majorBidi"/>
          <w:sz w:val="24"/>
          <w:szCs w:val="24"/>
          <w:u w:val="single"/>
        </w:rPr>
        <w:t>s</w:t>
      </w:r>
      <w:proofErr w:type="spellEnd"/>
    </w:p>
    <w:p xmlns:wp14="http://schemas.microsoft.com/office/word/2010/wordml" w:rsidRPr="00BC6C60" w:rsidR="00561CCF" w:rsidP="009B0FC8" w:rsidRDefault="00561CCF" w14:paraId="69D49691"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926435">
        <w:rPr>
          <w:rFonts w:asciiTheme="majorBidi" w:hAnsiTheme="majorBidi" w:cstheme="majorBidi"/>
          <w:sz w:val="24"/>
          <w:szCs w:val="24"/>
        </w:rPr>
        <w:instrText xml:space="preserve"> ADDIN ZOTERO_ITEM CSL_CITATION {"citationID":"OplEM9Ey","properties":{"formattedCitation":"Omri Boehm, {\\i{}The Binding of Isaac: A Religious Model of Disobedience}, Library of Hebrew Bible / Old Testament Studies 468 (T &amp; T Clark, 2007), 73\\uc0\\u8211{}85.","plainCitation":"Omri Boehm, The Binding of Isaac: A Religious Model of Disobedience, Library of Hebrew Bible / Old Testament Studies 468 (T &amp; T Clark, 2007), 73–85.","noteIndex":0},"citationItems":[{"id":130,"uris":["http://zotero.org/users/17607884/items/7262HYTQ"],"itemData":{"id":130,"type":"book","abstract":"Traditional interpretations in both Judaism and Christianity argue that the Akedah presents not only an ethical question but also an ethical reply. But for the intervention of the angel, Abraham would have killed his son. Obedience to God take precedence over morality as humanly conceived. Yet, the angel of YHWH that appears to Abraham is a later addition to the text; thus, in the original narrative Abraham actually disobeys the divine command to slay his son, and sacrifices a ram instead.The first part of the book shows how the &amp;quot;original&amp;quot; version of the narrative did not contain the angelic figure. The second part of the book re-examines various religious interpretations of the text to show that exegetes such as Maimonides and his followers did point out Abraham&amp;#39;s disobedience. According to these writers the esoteric layer of the story in fact declares that disobedience to God&amp;#39;s command was Abraham&amp;#39;s true affirmation of faith. In the third part of the book, Boehm re-opens the philosophical debate between Kant and Kierkegaard. Boehm concludes the book by contending that the monotheistic model of faith presented by Abraham was actually a model of disobedience.","collection-title":"Library of Hebrew Bible / Old Testament Studies 468","event-place":"New York and London","ISBN":"978-0-567-58641-4","language":"en","note":"Google-Books-ID: Azya1f7DnSQC","number-of-pages":"162","publisher":"T &amp; T Clark","publisher-place":"New York and London","source":"Google Books","title":"The Binding of Isaac: A Religious Model of Disobedience","title-short":"The Binding of Isaac","author":[{"family":"Boehm","given":"Omri"}],"issued":{"date-parts":[["2007"]]}},"locator":"73–85","label":"page"}],"schema":"https://github.com/citation-style-language/schema/raw/master/csl-citation.json"}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Omri Boehm, </w:t>
      </w:r>
      <w:proofErr w:type="gramStart"/>
      <w:r w:rsidRPr="00BC6C60">
        <w:rPr>
          <w:rFonts w:asciiTheme="majorBidi" w:hAnsiTheme="majorBidi" w:cstheme="majorBidi"/>
          <w:i/>
          <w:iCs/>
          <w:sz w:val="24"/>
          <w:szCs w:val="24"/>
        </w:rPr>
        <w:t>The</w:t>
      </w:r>
      <w:proofErr w:type="gramEnd"/>
      <w:r w:rsidRPr="00BC6C60">
        <w:rPr>
          <w:rFonts w:asciiTheme="majorBidi" w:hAnsiTheme="majorBidi" w:cstheme="majorBidi"/>
          <w:i/>
          <w:iCs/>
          <w:sz w:val="24"/>
          <w:szCs w:val="24"/>
        </w:rPr>
        <w:t xml:space="preserve"> Binding of Isaac: A Religious Model of Disobedience</w:t>
      </w:r>
      <w:r w:rsidRPr="00BC6C60">
        <w:rPr>
          <w:rFonts w:asciiTheme="majorBidi" w:hAnsiTheme="majorBidi" w:cstheme="majorBidi"/>
          <w:sz w:val="24"/>
          <w:szCs w:val="24"/>
        </w:rPr>
        <w:t>, Library of Hebrew Bible / Old Testament Studies 468 (T &amp; T Clark, 2007), 73–85.</w:t>
      </w:r>
      <w:r w:rsidRPr="00BC6C60">
        <w:rPr>
          <w:rFonts w:asciiTheme="majorBidi" w:hAnsiTheme="majorBidi" w:cstheme="majorBidi"/>
          <w:sz w:val="24"/>
          <w:szCs w:val="24"/>
        </w:rPr>
        <w:fldChar w:fldCharType="end"/>
      </w:r>
    </w:p>
    <w:p xmlns:wp14="http://schemas.microsoft.com/office/word/2010/wordml" w:rsidRPr="00BC6C60" w:rsidR="001224F2" w:rsidP="005E4C48" w:rsidRDefault="001224F2" w14:paraId="6A05A809" wp14:textId="77777777">
      <w:pPr>
        <w:spacing w:after="0" w:line="240" w:lineRule="auto"/>
        <w:rPr>
          <w:rFonts w:asciiTheme="majorBidi" w:hAnsiTheme="majorBidi" w:cstheme="majorBidi"/>
          <w:sz w:val="24"/>
          <w:szCs w:val="24"/>
        </w:rPr>
      </w:pPr>
    </w:p>
    <w:p xmlns:wp14="http://schemas.microsoft.com/office/word/2010/wordml" w:rsidRPr="00BC6C60" w:rsidR="00ED69FC" w:rsidP="001508CF" w:rsidRDefault="00ED69FC" w14:paraId="2C6E9236"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Optional:</w:t>
      </w:r>
    </w:p>
    <w:p xmlns:wp14="http://schemas.microsoft.com/office/word/2010/wordml" w:rsidRPr="00BC6C60" w:rsidR="00484858" w:rsidP="00484858" w:rsidRDefault="00484858" w14:paraId="3A1E0BA1"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 xml:space="preserve">Maimonides, </w:t>
      </w:r>
      <w:r w:rsidRPr="00BC6C60">
        <w:rPr>
          <w:rFonts w:asciiTheme="majorBidi" w:hAnsiTheme="majorBidi" w:cstheme="majorBidi"/>
          <w:i/>
          <w:iCs/>
          <w:sz w:val="24"/>
          <w:szCs w:val="24"/>
        </w:rPr>
        <w:t xml:space="preserve">Guide of the Perplexed, </w:t>
      </w:r>
      <w:r w:rsidRPr="00BC6C60">
        <w:rPr>
          <w:rFonts w:asciiTheme="majorBidi" w:hAnsiTheme="majorBidi" w:cstheme="majorBidi"/>
          <w:sz w:val="24"/>
          <w:szCs w:val="24"/>
        </w:rPr>
        <w:t>Introduction to the First Part (pp.5-20; Hebrew pp. 9-24).</w:t>
      </w:r>
    </w:p>
    <w:p xmlns:wp14="http://schemas.microsoft.com/office/word/2010/wordml" w:rsidRPr="00BC6C60" w:rsidR="00ED69FC" w:rsidP="005E4C48" w:rsidRDefault="00ED69FC" w14:paraId="30AC47F7" wp14:textId="77777777">
      <w:pPr>
        <w:spacing w:after="0" w:line="240" w:lineRule="auto"/>
        <w:rPr>
          <w:rFonts w:asciiTheme="majorBidi" w:hAnsiTheme="majorBidi" w:cstheme="majorBidi"/>
          <w:sz w:val="24"/>
          <w:szCs w:val="24"/>
        </w:rPr>
      </w:pPr>
      <w:proofErr w:type="spellStart"/>
      <w:r w:rsidRPr="00BC6C60">
        <w:rPr>
          <w:rFonts w:asciiTheme="majorBidi" w:hAnsiTheme="majorBidi" w:cstheme="majorBidi"/>
          <w:sz w:val="24"/>
          <w:szCs w:val="24"/>
        </w:rPr>
        <w:t>Omri</w:t>
      </w:r>
      <w:proofErr w:type="spellEnd"/>
      <w:r w:rsidRPr="00BC6C60">
        <w:rPr>
          <w:rFonts w:asciiTheme="majorBidi" w:hAnsiTheme="majorBidi" w:cstheme="majorBidi"/>
          <w:sz w:val="24"/>
          <w:szCs w:val="24"/>
        </w:rPr>
        <w:t xml:space="preserve"> Boehm, “The Politics of the Binding of Isaac”, in </w:t>
      </w:r>
      <w:r w:rsidRPr="00BC6C60">
        <w:rPr>
          <w:rFonts w:asciiTheme="majorBidi" w:hAnsiTheme="majorBidi" w:cstheme="majorBidi"/>
          <w:i/>
          <w:iCs/>
          <w:sz w:val="24"/>
          <w:szCs w:val="24"/>
        </w:rPr>
        <w:t>New York Times</w:t>
      </w:r>
      <w:r w:rsidRPr="00BC6C60">
        <w:rPr>
          <w:rFonts w:asciiTheme="majorBidi" w:hAnsiTheme="majorBidi" w:cstheme="majorBidi"/>
          <w:sz w:val="24"/>
          <w:szCs w:val="24"/>
        </w:rPr>
        <w:t>, January 14, 2014.</w:t>
      </w:r>
    </w:p>
    <w:p xmlns:wp14="http://schemas.microsoft.com/office/word/2010/wordml" w:rsidRPr="00BC6C60" w:rsidR="001A1DBB" w:rsidP="00926435" w:rsidRDefault="00BA5017" w14:paraId="229A5106" wp14:textId="77777777">
      <w:pPr>
        <w:spacing w:after="0" w:line="240" w:lineRule="auto"/>
        <w:rPr>
          <w:rStyle w:val="encoded-date"/>
          <w:rFonts w:asciiTheme="majorBidi" w:hAnsiTheme="majorBidi" w:cstheme="majorBidi"/>
          <w:sz w:val="24"/>
          <w:szCs w:val="24"/>
        </w:rPr>
      </w:pPr>
      <w:hyperlink w:tgtFrame="_blank" w:history="1" r:id="rId7">
        <w:r w:rsidRPr="00BC6C60" w:rsidR="00ED69FC">
          <w:rPr>
            <w:rStyle w:val="Hyperlink"/>
            <w:rFonts w:asciiTheme="majorBidi" w:hAnsiTheme="majorBidi" w:cstheme="majorBidi"/>
            <w:sz w:val="24"/>
            <w:szCs w:val="24"/>
            <w:lang w:val="de-DE"/>
          </w:rPr>
          <w:t>https://archive.nytimes.com/opinionator.blogs.nytimes.com/2014/01/14/the-politics-of-the-binding-of-isaac/</w:t>
        </w:r>
      </w:hyperlink>
      <w:r w:rsidRPr="00BC6C60" w:rsidR="00926435">
        <w:rPr>
          <w:rStyle w:val="Hyperlink"/>
          <w:rFonts w:asciiTheme="majorBidi" w:hAnsiTheme="majorBidi" w:cstheme="majorBidi"/>
          <w:sz w:val="24"/>
          <w:szCs w:val="24"/>
          <w:u w:val="none"/>
          <w:lang w:val="de-DE"/>
        </w:rPr>
        <w:t xml:space="preserve"> (In German: </w:t>
      </w:r>
      <w:proofErr w:type="spellStart"/>
      <w:r w:rsidRPr="00BC6C60" w:rsidR="001A1DBB">
        <w:rPr>
          <w:rFonts w:asciiTheme="majorBidi" w:hAnsiTheme="majorBidi" w:cstheme="majorBidi"/>
          <w:sz w:val="24"/>
          <w:szCs w:val="24"/>
          <w:lang w:val="de-DE"/>
        </w:rPr>
        <w:t>Omri</w:t>
      </w:r>
      <w:proofErr w:type="spellEnd"/>
      <w:r w:rsidRPr="00BC6C60" w:rsidR="001A1DBB">
        <w:rPr>
          <w:rFonts w:asciiTheme="majorBidi" w:hAnsiTheme="majorBidi" w:cstheme="majorBidi"/>
          <w:sz w:val="24"/>
          <w:szCs w:val="24"/>
          <w:lang w:val="de-DE"/>
        </w:rPr>
        <w:t xml:space="preserve"> Boehm, </w:t>
      </w:r>
      <w:r w:rsidRPr="00BC6C60" w:rsidR="001A1DBB">
        <w:rPr>
          <w:rStyle w:val="encoded-date"/>
          <w:rFonts w:asciiTheme="majorBidi" w:hAnsiTheme="majorBidi" w:cstheme="majorBidi"/>
          <w:sz w:val="24"/>
          <w:szCs w:val="24"/>
          <w:lang w:val="de-DE"/>
        </w:rPr>
        <w:t>Theologie des Ungehorsams,</w:t>
      </w:r>
      <w:r w:rsidRPr="00BC6C60" w:rsidR="00926435">
        <w:rPr>
          <w:rStyle w:val="encoded-date"/>
          <w:rFonts w:asciiTheme="majorBidi" w:hAnsiTheme="majorBidi" w:cstheme="majorBidi"/>
          <w:sz w:val="24"/>
          <w:szCs w:val="24"/>
          <w:lang w:val="de-DE"/>
        </w:rPr>
        <w:t xml:space="preserve"> in</w:t>
      </w:r>
      <w:r w:rsidRPr="00BC6C60" w:rsidR="001A1DBB">
        <w:rPr>
          <w:rStyle w:val="encoded-date"/>
          <w:rFonts w:asciiTheme="majorBidi" w:hAnsiTheme="majorBidi" w:cstheme="majorBidi"/>
          <w:sz w:val="24"/>
          <w:szCs w:val="24"/>
          <w:lang w:val="de-DE"/>
        </w:rPr>
        <w:t xml:space="preserve"> </w:t>
      </w:r>
      <w:r w:rsidRPr="00BC6C60" w:rsidR="001A1DBB">
        <w:rPr>
          <w:rStyle w:val="encoded-date"/>
          <w:rFonts w:asciiTheme="majorBidi" w:hAnsiTheme="majorBidi" w:cstheme="majorBidi"/>
          <w:i/>
          <w:iCs/>
          <w:sz w:val="24"/>
          <w:szCs w:val="24"/>
          <w:lang w:val="de-DE"/>
        </w:rPr>
        <w:t>Die Zeit</w:t>
      </w:r>
      <w:r w:rsidRPr="00BC6C60" w:rsidR="001A1DBB">
        <w:rPr>
          <w:rStyle w:val="encoded-date"/>
          <w:rFonts w:asciiTheme="majorBidi" w:hAnsiTheme="majorBidi" w:cstheme="majorBidi"/>
          <w:sz w:val="24"/>
          <w:szCs w:val="24"/>
          <w:lang w:val="de-DE"/>
        </w:rPr>
        <w:t xml:space="preserve">, Nr. 48/2013, 21. </w:t>
      </w:r>
      <w:r w:rsidRPr="00BC6C60" w:rsidR="001A1DBB">
        <w:rPr>
          <w:rStyle w:val="encoded-date"/>
          <w:rFonts w:asciiTheme="majorBidi" w:hAnsiTheme="majorBidi" w:cstheme="majorBidi"/>
          <w:sz w:val="24"/>
          <w:szCs w:val="24"/>
        </w:rPr>
        <w:t>November 2013</w:t>
      </w:r>
      <w:r w:rsidRPr="00BC6C60" w:rsidR="00926435">
        <w:rPr>
          <w:rStyle w:val="encoded-date"/>
          <w:rFonts w:asciiTheme="majorBidi" w:hAnsiTheme="majorBidi" w:cstheme="majorBidi"/>
          <w:sz w:val="24"/>
          <w:szCs w:val="24"/>
        </w:rPr>
        <w:t>)</w:t>
      </w:r>
    </w:p>
    <w:p xmlns:wp14="http://schemas.microsoft.com/office/word/2010/wordml" w:rsidRPr="00BC6C60" w:rsidR="00004C50" w:rsidP="00926435" w:rsidRDefault="00004C50" w14:paraId="5A39BBE3" wp14:textId="77777777">
      <w:pPr>
        <w:spacing w:after="0" w:line="240" w:lineRule="auto"/>
        <w:rPr>
          <w:rFonts w:asciiTheme="majorBidi" w:hAnsiTheme="majorBidi" w:cstheme="majorBidi"/>
          <w:sz w:val="24"/>
          <w:szCs w:val="24"/>
        </w:rPr>
      </w:pPr>
    </w:p>
    <w:p xmlns:wp14="http://schemas.microsoft.com/office/word/2010/wordml" w:rsidRPr="00BC6C60" w:rsidR="001224F2" w:rsidP="0032532A" w:rsidRDefault="001224F2" w14:paraId="3FA4AACB" wp14:textId="77777777">
      <w:pPr>
        <w:pStyle w:val="Funotentext"/>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w:t>
      </w:r>
      <w:r w:rsidRPr="00BC6C60" w:rsidR="0032532A">
        <w:rPr>
          <w:rFonts w:asciiTheme="majorBidi" w:hAnsiTheme="majorBidi" w:cstheme="majorBidi"/>
          <w:sz w:val="24"/>
          <w:szCs w:val="24"/>
          <w:u w:val="single"/>
        </w:rPr>
        <w:t>5</w:t>
      </w:r>
      <w:r w:rsidRPr="00BC6C60">
        <w:rPr>
          <w:rFonts w:asciiTheme="majorBidi" w:hAnsiTheme="majorBidi" w:cstheme="majorBidi"/>
          <w:sz w:val="24"/>
          <w:szCs w:val="24"/>
          <w:u w:val="single"/>
        </w:rPr>
        <w:t>: Kant</w:t>
      </w:r>
      <w:r w:rsidRPr="00BC6C60" w:rsidR="00ED5E72">
        <w:rPr>
          <w:rFonts w:asciiTheme="majorBidi" w:hAnsiTheme="majorBidi" w:cstheme="majorBidi"/>
          <w:sz w:val="24"/>
          <w:szCs w:val="24"/>
          <w:u w:val="single"/>
        </w:rPr>
        <w:t xml:space="preserve"> </w:t>
      </w:r>
      <w:r w:rsidRPr="00BC6C60" w:rsidR="00926435">
        <w:rPr>
          <w:rFonts w:asciiTheme="majorBidi" w:hAnsiTheme="majorBidi" w:cstheme="majorBidi"/>
          <w:sz w:val="24"/>
          <w:szCs w:val="24"/>
          <w:u w:val="single"/>
        </w:rPr>
        <w:t xml:space="preserve">on rational religion and evil </w:t>
      </w:r>
    </w:p>
    <w:p xmlns:wp14="http://schemas.microsoft.com/office/word/2010/wordml" w:rsidRPr="00BC6C60" w:rsidR="00D2687F" w:rsidP="00D2687F" w:rsidRDefault="00D2687F" w14:paraId="74B32584" wp14:textId="77777777">
      <w:pPr>
        <w:pStyle w:val="Funotentext"/>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{"citationID":"3Qwz5Kad","properties":{"formattedCitation":"Immanuel Kant, {\\i{}Religion within the Boundaries of Mere Reason and Other Writings}, ed. Allen Wood, trans. Allen Wood and George di Giovanni (Cambridge University Press, 1998), 33-36 (6:3-6:7), 45-50 (6:19-6:26), https://doi.org/10.1017/9781316569894.","plainCitation":"Immanuel Kant, Religion within the Boundaries of Mere Reason and Other Writings, ed. Allen Wood, trans. Allen Wood and George di Giovanni (Cambridge University Press, 1998), 33-36 (6:3-6:7), 45-50 (6:19-6:26), https://doi.org/10.1017/9781316569894.","dontUpdate":true,"noteIndex":0},"citationItems":[{"id":143,"uris":["http://zotero.org/users/17607884/items/XZGLD4G6"],"itemData":{"id":143,"type":"book","abstract":"Religion within the Boundaries of Mere Reason is a key element of the system of philosophy which Kant introduced with his Critique of Pure Reason, and a work of major importance in the history of Western religious thought. It represents a great philosopher's attempt to spell out the form and content of a type of religion that would be grounded in moral reason and would meet the needs of ethical life. It includes sharply critical and boldly constructive discussions on topics not often treated by philosophers, including such traditional theological concepts as original sin and the salvation or 'justification' of a sinner, and the idea of the proper role of a church. This new edition includes slightly revised translations, a revised introduction with expanded discussion of certain key themes in the work, and up-to-date guidance on further reading.","language":"en","note":"ISBN: 9781316569894\npublisher: Cambridge University Press\nDOI: 10.1017/9781316569894","publisher":"Cambridge University Press","title":"Religion within the Boundaries of Mere Reason and Other Writings","author":[{"family":"Kant","given":"Immanuel"}],"translator":[{"literal":"Allen Wood"},{"family":"Giovanni","given":"George","dropping-particle":"di"}],"issued":{"date-parts":[["1998"]]}},"locator":"33-36 (6:3 - 6:7), 45-50 (6:19-6:26)","label":"page"}],"schema":"https://github.com/citation-style-language/schema/raw/master/csl-citation.json"}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Immanuel Kant, </w:t>
      </w:r>
      <w:r w:rsidRPr="00BC6C60">
        <w:rPr>
          <w:rFonts w:asciiTheme="majorBidi" w:hAnsiTheme="majorBidi" w:cstheme="majorBidi"/>
          <w:i/>
          <w:iCs/>
          <w:sz w:val="24"/>
          <w:szCs w:val="24"/>
        </w:rPr>
        <w:t>Religion within the Boundaries of Mere Reason and Other Writings</w:t>
      </w:r>
      <w:r w:rsidRPr="00BC6C60">
        <w:rPr>
          <w:rFonts w:asciiTheme="majorBidi" w:hAnsiTheme="majorBidi" w:cstheme="majorBidi"/>
          <w:sz w:val="24"/>
          <w:szCs w:val="24"/>
        </w:rPr>
        <w:t xml:space="preserve">, edited and translated by Allen Wood and George di Giovanni (Cambridge University Press, 1998), 33-36 (6:3-6:7), 45-50 (6:19-6:26). </w:t>
      </w:r>
      <w:r w:rsidRPr="00BC6C60">
        <w:rPr>
          <w:rFonts w:asciiTheme="majorBidi" w:hAnsiTheme="majorBidi" w:cstheme="majorBidi"/>
          <w:sz w:val="24"/>
          <w:szCs w:val="24"/>
        </w:rPr>
        <w:fldChar w:fldCharType="end"/>
      </w:r>
    </w:p>
    <w:p xmlns:wp14="http://schemas.microsoft.com/office/word/2010/wordml" w:rsidRPr="00BC6C60" w:rsidR="004B63A1" w:rsidP="004B63A1" w:rsidRDefault="004B63A1" w14:paraId="41C8F396" wp14:textId="77777777">
      <w:pPr>
        <w:pStyle w:val="Funotentext"/>
        <w:rPr>
          <w:rFonts w:asciiTheme="majorBidi" w:hAnsiTheme="majorBidi" w:cstheme="majorBidi"/>
          <w:sz w:val="24"/>
          <w:szCs w:val="24"/>
        </w:rPr>
      </w:pPr>
    </w:p>
    <w:p xmlns:wp14="http://schemas.microsoft.com/office/word/2010/wordml" w:rsidRPr="00BC6C60" w:rsidR="00926435" w:rsidP="00907A4F" w:rsidRDefault="00926435" w14:paraId="5CC8D5F6" wp14:textId="77777777">
      <w:pPr>
        <w:autoSpaceDE w:val="0"/>
        <w:autoSpaceDN w:val="0"/>
        <w:adjustRightInd w:val="0"/>
        <w:spacing w:after="0" w:line="240" w:lineRule="auto"/>
        <w:rPr>
          <w:rFonts w:asciiTheme="majorBidi" w:hAnsiTheme="majorBidi" w:cstheme="majorBidi"/>
          <w:sz w:val="24"/>
          <w:szCs w:val="24"/>
        </w:rPr>
      </w:pPr>
      <w:r w:rsidRPr="00BC6C60">
        <w:rPr>
          <w:rFonts w:asciiTheme="majorBidi" w:hAnsiTheme="majorBidi" w:cstheme="majorBidi"/>
          <w:sz w:val="24"/>
          <w:szCs w:val="24"/>
        </w:rPr>
        <w:t>Optional:</w:t>
      </w:r>
    </w:p>
    <w:p xmlns:wp14="http://schemas.microsoft.com/office/word/2010/wordml" w:rsidRPr="00BC6C60" w:rsidR="00926435" w:rsidP="00D2687F" w:rsidRDefault="00926435" w14:paraId="0562FAA0" wp14:textId="77777777">
      <w:pPr>
        <w:autoSpaceDE w:val="0"/>
        <w:autoSpaceDN w:val="0"/>
        <w:adjustRightInd w:val="0"/>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D2687F">
        <w:rPr>
          <w:rFonts w:asciiTheme="majorBidi" w:hAnsiTheme="majorBidi" w:cstheme="majorBidi"/>
          <w:sz w:val="24"/>
          <w:szCs w:val="24"/>
        </w:rPr>
        <w:instrText xml:space="preserve"> ADDIN ZOTERO_ITEM CSL_CITATION {"citationID":"JdzucJ0U","properties":{"formattedCitation":"Boehm, {\\i{}The Binding of Isaac}, 101\\uc0\\u8211{}20.","plainCitation":"Boehm, The Binding of Isaac, 101–20.","noteIndex":0},"citationItems":[{"id":130,"uris":["http://zotero.org/users/17607884/items/7262HYTQ"],"itemData":{"id":130,"type":"book","abstract":"Traditional interpretations in both Judaism and Christianity argue that the Akedah presents not only an ethical question but also an ethical reply. But for the intervention of the angel, Abraham would have killed his son. Obedience to God take precedence over morality as humanly conceived. Yet, the angel of YHWH that appears to Abraham is a later addition to the text; thus, in the original narrative Abraham actually disobeys the divine command to slay his son, and sacrifices a ram instead.The first part of the book shows how the &amp;quot;original&amp;quot; version of the narrative did not contain the angelic figure. The second part of the book re-examines various religious interpretations of the text to show that exegetes such as Maimonides and his followers did point out Abraham&amp;#39;s disobedience. According to these writers the esoteric layer of the story in fact declares that disobedience to God&amp;#39;s command was Abraham&amp;#39;s true affirmation of faith. In the third part of the book, Boehm re-opens the philosophical debate between Kant and Kierkegaard. Boehm concludes the book by contending that the monotheistic model of faith presented by Abraham was actually a model of disobedience.","collection-title":"Library of Hebrew Bible / Old Testament Studies 468","event-place":"New York and London","ISBN":"978-0-567-58641-4","language":"en","note":"Google-Books-ID: Azya1f7DnSQC","number-of-pages":"162","publisher":"T &amp; T Clark","publisher-place":"New York and London","source":"Google Books","title":"The Binding of Isaac: A Religious Model of Disobedience","title-short":"The Binding of Isaac","author":[{"family":"Boehm","given":"Omri"}],"issued":{"date-parts":[["2007"]]}},"locator":"101-120","label":"page"}],"schema":"https://github.com/citation-style-language/schema/raw/master/csl-citation.json"} </w:instrText>
      </w:r>
      <w:r w:rsidRPr="00BC6C60">
        <w:rPr>
          <w:rFonts w:asciiTheme="majorBidi" w:hAnsiTheme="majorBidi" w:cstheme="majorBidi"/>
          <w:sz w:val="24"/>
          <w:szCs w:val="24"/>
        </w:rPr>
        <w:fldChar w:fldCharType="separate"/>
      </w:r>
      <w:r w:rsidRPr="00BC6C60" w:rsidR="00D2687F">
        <w:rPr>
          <w:rFonts w:asciiTheme="majorBidi" w:hAnsiTheme="majorBidi" w:cstheme="majorBidi"/>
          <w:sz w:val="24"/>
          <w:szCs w:val="24"/>
        </w:rPr>
        <w:t xml:space="preserve">Boehm, </w:t>
      </w:r>
      <w:proofErr w:type="gramStart"/>
      <w:r w:rsidRPr="00BC6C60" w:rsidR="00D2687F">
        <w:rPr>
          <w:rFonts w:asciiTheme="majorBidi" w:hAnsiTheme="majorBidi" w:cstheme="majorBidi"/>
          <w:i/>
          <w:iCs/>
          <w:sz w:val="24"/>
          <w:szCs w:val="24"/>
        </w:rPr>
        <w:t>The</w:t>
      </w:r>
      <w:proofErr w:type="gramEnd"/>
      <w:r w:rsidRPr="00BC6C60" w:rsidR="00D2687F">
        <w:rPr>
          <w:rFonts w:asciiTheme="majorBidi" w:hAnsiTheme="majorBidi" w:cstheme="majorBidi"/>
          <w:i/>
          <w:iCs/>
          <w:sz w:val="24"/>
          <w:szCs w:val="24"/>
        </w:rPr>
        <w:t xml:space="preserve"> Binding of Isaac</w:t>
      </w:r>
      <w:r w:rsidRPr="00BC6C60" w:rsidR="00D2687F">
        <w:rPr>
          <w:rFonts w:asciiTheme="majorBidi" w:hAnsiTheme="majorBidi" w:cstheme="majorBidi"/>
          <w:sz w:val="24"/>
          <w:szCs w:val="24"/>
        </w:rPr>
        <w:t>, 101–20.</w:t>
      </w:r>
      <w:r w:rsidRPr="00BC6C60">
        <w:rPr>
          <w:rFonts w:asciiTheme="majorBidi" w:hAnsiTheme="majorBidi" w:cstheme="majorBidi"/>
          <w:sz w:val="24"/>
          <w:szCs w:val="24"/>
        </w:rPr>
        <w:fldChar w:fldCharType="end"/>
      </w:r>
    </w:p>
    <w:p xmlns:wp14="http://schemas.microsoft.com/office/word/2010/wordml" w:rsidRPr="00BC6C60" w:rsidR="00926435" w:rsidP="00926435" w:rsidRDefault="00926435" w14:paraId="72A3D3EC" wp14:textId="77777777">
      <w:pPr>
        <w:autoSpaceDE w:val="0"/>
        <w:autoSpaceDN w:val="0"/>
        <w:adjustRightInd w:val="0"/>
        <w:spacing w:after="0" w:line="240" w:lineRule="auto"/>
        <w:rPr>
          <w:rFonts w:asciiTheme="majorBidi" w:hAnsiTheme="majorBidi" w:cstheme="majorBidi"/>
          <w:sz w:val="24"/>
          <w:szCs w:val="24"/>
        </w:rPr>
      </w:pPr>
    </w:p>
    <w:p xmlns:wp14="http://schemas.microsoft.com/office/word/2010/wordml" w:rsidRPr="00BC6C60" w:rsidR="001224F2" w:rsidP="00BC6C60" w:rsidRDefault="001224F2" w14:paraId="0F97B16F" wp14:textId="77777777">
      <w:pPr>
        <w:pStyle w:val="Funotentext"/>
        <w:tabs>
          <w:tab w:val="left" w:pos="1758"/>
        </w:tabs>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w:t>
      </w:r>
      <w:r w:rsidRPr="00BC6C60" w:rsidR="0032532A">
        <w:rPr>
          <w:rFonts w:asciiTheme="majorBidi" w:hAnsiTheme="majorBidi" w:cstheme="majorBidi"/>
          <w:sz w:val="24"/>
          <w:szCs w:val="24"/>
          <w:u w:val="single"/>
        </w:rPr>
        <w:t>6</w:t>
      </w:r>
      <w:r w:rsidRPr="00BC6C60">
        <w:rPr>
          <w:rFonts w:asciiTheme="majorBidi" w:hAnsiTheme="majorBidi" w:cstheme="majorBidi"/>
          <w:sz w:val="24"/>
          <w:szCs w:val="24"/>
          <w:u w:val="single"/>
        </w:rPr>
        <w:t>: Kant</w:t>
      </w:r>
      <w:r w:rsidRPr="00BC6C60" w:rsidR="00926435">
        <w:rPr>
          <w:rFonts w:asciiTheme="majorBidi" w:hAnsiTheme="majorBidi" w:cstheme="majorBidi"/>
          <w:sz w:val="24"/>
          <w:szCs w:val="24"/>
          <w:u w:val="single"/>
        </w:rPr>
        <w:t xml:space="preserve"> </w:t>
      </w:r>
      <w:r w:rsidR="00BC6C60">
        <w:rPr>
          <w:rFonts w:asciiTheme="majorBidi" w:hAnsiTheme="majorBidi" w:cstheme="majorBidi"/>
          <w:sz w:val="24"/>
          <w:szCs w:val="24"/>
          <w:u w:val="single"/>
        </w:rPr>
        <w:t>on</w:t>
      </w:r>
      <w:r w:rsidRPr="00BC6C60" w:rsidR="00926435">
        <w:rPr>
          <w:rFonts w:asciiTheme="majorBidi" w:hAnsiTheme="majorBidi" w:cstheme="majorBidi"/>
          <w:sz w:val="24"/>
          <w:szCs w:val="24"/>
          <w:u w:val="single"/>
        </w:rPr>
        <w:t xml:space="preserve"> the problem of h</w:t>
      </w:r>
      <w:r w:rsidRPr="00BC6C60" w:rsidR="001B430C">
        <w:rPr>
          <w:rFonts w:asciiTheme="majorBidi" w:hAnsiTheme="majorBidi" w:cstheme="majorBidi"/>
          <w:sz w:val="24"/>
          <w:szCs w:val="24"/>
          <w:u w:val="single"/>
        </w:rPr>
        <w:t>earing</w:t>
      </w:r>
    </w:p>
    <w:p xmlns:wp14="http://schemas.microsoft.com/office/word/2010/wordml" w:rsidRPr="00BC6C60" w:rsidR="00D2687F" w:rsidP="00D2687F" w:rsidRDefault="00D2687F" w14:paraId="2C9CE8A2" wp14:textId="77777777">
      <w:pPr>
        <w:pStyle w:val="Funotentext"/>
        <w:tabs>
          <w:tab w:val="left" w:pos="1758"/>
        </w:tabs>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{"citationID":"77q7FZgH","properties":{"formattedCitation":"Kant, {\\i{}Religion within the Boundaries of Mere Reason and Other Writings}, 65-70 (6:44-6:50), 98-100 (6:84-6:88), 178-182 (6:185-6:190).","plainCitation":"Kant, Religion within the Boundaries of Mere Reason and Other Writings, 65-70 (6:44-6:50), 98-100 (6:84-6:88), 178-182 (6:185-6:190).","noteIndex":0},"citationItems":[{"id":143,"uris":["http://zotero.org/users/17607884/items/XZGLD4G6"],"itemData":{"id":143,"type":"book","abstract":"Religion within the Boundaries of Mere Reason is a key element of the system of philosophy which Kant introduced with his Critique of Pure Reason, and a work of major importance in the history of Western religious thought. It represents a great philosopher's attempt to spell out the form and content of a type of religion that would be grounded in moral reason and would meet the needs of ethical life. It includes sharply critical and boldly constructive discussions on topics not often treated by philosophers, including such traditional theological concepts as original sin and the salvation or 'justification' of a sinner, and the idea of the proper role of a church. This new edition includes slightly revised translations, a revised introduction with expanded discussion of certain key themes in the work, and up-to-date guidance on further reading.","language":"en","note":"ISBN: 9781316569894\npublisher: Cambridge University Press\nDOI: 10.1017/9781316569894","publisher":"Cambridge University Press","title":"Religion within the Boundaries of Mere Reason and Other Writings","author":[{"family":"Kant","given":"Immanuel"}],"translator":[{"literal":"Allen Wood"},{"family":"Giovanni","given":"George","dropping-particle":"di"}],"issued":{"date-parts":[["1998"]]}},"locator":"65-70 (6:44-6:50), 98-100 (6:84-6:88), 178-182 (6:185 - 6:190)","label":"page"}],"schema":"https://github.com/citation-style-language/schema/raw/master/csl-citation.json"}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Kant, </w:t>
      </w:r>
      <w:r w:rsidRPr="00BC6C60">
        <w:rPr>
          <w:rFonts w:asciiTheme="majorBidi" w:hAnsiTheme="majorBidi" w:cstheme="majorBidi"/>
          <w:i/>
          <w:iCs/>
          <w:sz w:val="24"/>
          <w:szCs w:val="24"/>
        </w:rPr>
        <w:t>Religion within the Boundaries of Mere Reason and Other Writings</w:t>
      </w:r>
      <w:r w:rsidRPr="00BC6C60">
        <w:rPr>
          <w:rFonts w:asciiTheme="majorBidi" w:hAnsiTheme="majorBidi" w:cstheme="majorBidi"/>
          <w:sz w:val="24"/>
          <w:szCs w:val="24"/>
        </w:rPr>
        <w:t>, 65-70 (6:44-6:50), 98-100 (6:84-6:88), 178-182 (6:185-6:190).</w:t>
      </w:r>
      <w:r w:rsidRPr="00BC6C60">
        <w:rPr>
          <w:rFonts w:asciiTheme="majorBidi" w:hAnsiTheme="majorBidi" w:cstheme="majorBidi"/>
          <w:sz w:val="24"/>
          <w:szCs w:val="24"/>
        </w:rPr>
        <w:fldChar w:fldCharType="end"/>
      </w:r>
    </w:p>
    <w:p xmlns:wp14="http://schemas.microsoft.com/office/word/2010/wordml" w:rsidRPr="00BC6C60" w:rsidR="00D2687F" w:rsidP="00926435" w:rsidRDefault="00D2687F" w14:paraId="0D0B940D" wp14:textId="77777777">
      <w:pPr>
        <w:pStyle w:val="Funotentext"/>
        <w:tabs>
          <w:tab w:val="left" w:pos="1758"/>
        </w:tabs>
        <w:rPr>
          <w:rFonts w:asciiTheme="majorBidi" w:hAnsiTheme="majorBidi" w:cstheme="majorBidi"/>
          <w:sz w:val="24"/>
          <w:szCs w:val="24"/>
        </w:rPr>
      </w:pPr>
    </w:p>
    <w:p xmlns:wp14="http://schemas.microsoft.com/office/word/2010/wordml" w:rsidRPr="00BC6C60" w:rsidR="001B430C" w:rsidP="00926435" w:rsidRDefault="001B430C" w14:paraId="0DAFDB98" wp14:textId="77777777">
      <w:pPr>
        <w:pStyle w:val="Funotentext"/>
        <w:tabs>
          <w:tab w:val="left" w:pos="1758"/>
        </w:tabs>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F13D44">
        <w:rPr>
          <w:rFonts w:asciiTheme="majorBidi" w:hAnsiTheme="majorBidi" w:cstheme="majorBidi"/>
          <w:sz w:val="24"/>
          <w:szCs w:val="24"/>
        </w:rPr>
        <w:instrText xml:space="preserve"> ADDIN ZOTERO_ITEM CSL_CITATION {"citationID":"zyMMTG4e","properties":{"formattedCitation":"Immanuel Kant, \\uc0\\u8220{}The Conflict of the Faculties,\\uc0\\u8221{} in {\\i{}Religion and Rational Theology}, ed. Allen W. Wood and George di Giovanni, trans. Mary J. Gregor, The Cambridge Edition of the Works of Immanuel Kant (Cambridge University Press, 1996), 283 (7:63).","plainCitation":"Immanuel Kant, “The Conflict of the Faculties,” in Religion and Rational Theology, ed. Allen W. Wood and George di Giovanni, trans. Mary J. Gregor, The Cambridge Edition of the Works of Immanuel Kant (Cambridge University Press, 1996), 283 (7:63).","noteIndex":0},"citationItems":[{"id":145,"uris":["http://zotero.org/users/17607884/items/CJ56RXCM"],"itemData":{"id":145,"type":"chapter","abstract":"Editor's introductionDer Streit der Fakultäten first appeared in the autumn of 1798, published by Friedrich Nicolovius in Königsberg.The Conflict of the Faculties brings together three different essays Kant had written at various times. Sometime between June and October 1794, Kant wrote an essay on the prerogatives of the philosophical faculty in relation to the theological faculty of the university. Clearly it was at least partly an attempt to justify the manner in which he had circumvented the censors in publishing the Religion (see the Translator's Introduction to that work). After Wöllner's letter of reproof and Kant's subsequent promise not to lecture or publish on religious subjects (see General Introduction and below, AK 7:5–11), the liberal theologian C. F. Stäudlin in Göttingen offered the philosopher the opportunity to publish this new essay free of the Prussian censorship (AK 11:488). But Kant regarded this as a violation of his promise to the king, and therefore felt duty bound to decline Stäudlin's invitation (AK 11:513–15).After the death of King Frederick William II, however, Kant chose to regard himself as released from his promise and free to publish his essay on the relation of the philosophical and theological faculties. But he expanded the scope of his original essay to include the relation of the “lower” faculty (of philosophy) to all three of the university's “higher” faculties (of theology, law, and medicine). Based on his account of freedom of expression given in “What Is Enlightenment?” (1784), Kant maintains that the three “higher” faculties have duties to the state.","collection-title":"The Cambridge Edition of the Works of Immanuel Kant","container-title":"Religion and Rational Theology","event-place":"Cambridge","ISBN":"978-0-521-79998-0","page":"233-328","publisher":"Cambridge University Press","publisher-place":"Cambridge","source":"Cambridge University Press","title":"The Conflict of the Faculties","author":[{"family":"Kant","given":"Immanuel"}],"editor":[{"family":"Wood","given":"Allen W."},{"family":"Giovanni","given":"George","non-dropping-particle":"di"}],"translator":[{"family":"Gregor","given":"Mary J."}],"issued":{"date-parts":[["1996"]]}},"locator":"283 (7:63)","label":"page"}],"schema":"https://github.com/citation-style-language/schema/raw/master/csl-citation.json"}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Immanuel Kant, “The Conflict of the Faculties,” in </w:t>
      </w:r>
      <w:r w:rsidRPr="00BC6C60">
        <w:rPr>
          <w:rFonts w:asciiTheme="majorBidi" w:hAnsiTheme="majorBidi" w:cstheme="majorBidi"/>
          <w:i/>
          <w:iCs/>
          <w:sz w:val="24"/>
          <w:szCs w:val="24"/>
        </w:rPr>
        <w:t>Religion and Rational Theology</w:t>
      </w:r>
      <w:r w:rsidRPr="00BC6C60">
        <w:rPr>
          <w:rFonts w:asciiTheme="majorBidi" w:hAnsiTheme="majorBidi" w:cstheme="majorBidi"/>
          <w:sz w:val="24"/>
          <w:szCs w:val="24"/>
        </w:rPr>
        <w:t>, ed. Allen W. Wood and George di Giovanni, trans. Mary J. Gregor, The Cambridge Edition of the Works of Immanuel Kant (Cambridge University Press, 1996), 283 (7:63).</w:t>
      </w:r>
      <w:r w:rsidRPr="00BC6C60">
        <w:rPr>
          <w:rFonts w:asciiTheme="majorBidi" w:hAnsiTheme="majorBidi" w:cstheme="majorBidi"/>
          <w:sz w:val="24"/>
          <w:szCs w:val="24"/>
        </w:rPr>
        <w:fldChar w:fldCharType="end"/>
      </w:r>
    </w:p>
    <w:p xmlns:wp14="http://schemas.microsoft.com/office/word/2010/wordml" w:rsidRPr="00BC6C60" w:rsidR="001B430C" w:rsidP="00926435" w:rsidRDefault="001B430C" w14:paraId="0E27B00A" wp14:textId="77777777">
      <w:pPr>
        <w:pStyle w:val="Funotentext"/>
        <w:tabs>
          <w:tab w:val="left" w:pos="1758"/>
        </w:tabs>
        <w:rPr>
          <w:rFonts w:asciiTheme="majorBidi" w:hAnsiTheme="majorBidi" w:cstheme="majorBidi"/>
          <w:sz w:val="24"/>
          <w:szCs w:val="24"/>
        </w:rPr>
      </w:pPr>
    </w:p>
    <w:p xmlns:wp14="http://schemas.microsoft.com/office/word/2010/wordml" w:rsidRPr="00BC6C60" w:rsidR="00926435" w:rsidP="001224F2" w:rsidRDefault="001B430C" w14:paraId="632F95B9" wp14:textId="77777777">
      <w:pPr>
        <w:pStyle w:val="Funotentext"/>
        <w:rPr>
          <w:rFonts w:asciiTheme="majorBidi" w:hAnsiTheme="majorBidi" w:cstheme="majorBidi"/>
          <w:sz w:val="24"/>
          <w:szCs w:val="24"/>
        </w:rPr>
      </w:pPr>
      <w:r w:rsidRPr="00BC6C60">
        <w:rPr>
          <w:rFonts w:asciiTheme="majorBidi" w:hAnsiTheme="majorBidi" w:cstheme="majorBidi"/>
          <w:sz w:val="24"/>
          <w:szCs w:val="24"/>
        </w:rPr>
        <w:t>Optional:</w:t>
      </w:r>
    </w:p>
    <w:p xmlns:wp14="http://schemas.microsoft.com/office/word/2010/wordml" w:rsidRPr="00BC6C60" w:rsidR="001B430C" w:rsidP="001224F2" w:rsidRDefault="001B430C" w14:paraId="1FD86103" wp14:textId="77777777">
      <w:pPr>
        <w:pStyle w:val="Funotentext"/>
        <w:rPr>
          <w:rFonts w:asciiTheme="majorBidi" w:hAnsiTheme="majorBidi" w:cstheme="majorBidi"/>
          <w:sz w:val="24"/>
          <w:szCs w:val="24"/>
          <w:u w:val="single"/>
        </w:rPr>
      </w:pPr>
      <w:r w:rsidRPr="00BC6C60">
        <w:rPr>
          <w:rFonts w:asciiTheme="majorBidi" w:hAnsiTheme="majorBidi" w:cstheme="majorBidi"/>
          <w:sz w:val="24"/>
          <w:szCs w:val="24"/>
        </w:rPr>
        <w:fldChar w:fldCharType="begin"/>
      </w:r>
      <w:r w:rsidRPr="00BC6C60" w:rsidR="00C01580">
        <w:rPr>
          <w:rFonts w:asciiTheme="majorBidi" w:hAnsiTheme="majorBidi" w:cstheme="majorBidi"/>
          <w:sz w:val="24"/>
          <w:szCs w:val="24"/>
        </w:rPr>
        <w:instrText xml:space="preserve"> ADDIN ZOTERO_ITEM CSL_CITATION {"citationID":"lpG01bHL","properties":{"formattedCitation":"Emil L. Fackenheim, {\\i{}Encounters Between Judaism and Modern Philosophy: A Preface to Future Jewish Thought} (Schocken Books, 1980), 31\\uc0\\u8211{}78.","plainCitation":"Emil L. Fackenheim, Encounters Between Judaism and Modern Philosophy: A Preface to Future Jewish Thought (Schocken Books, 1980), 31–78.","noteIndex":0},"citationItems":[{"id":148,"uris":["http://zotero.org/users/17607884/items/YW9IWCV8"],"itemData":{"id":148,"type":"book","event-place":"New York","publisher":"Schocken Books","publisher-place":"New York","source":"PhilPapers","title":"Encounters Between Judaism and Modern Philosophy: A Preface to Future Jewish Thought","title-short":"Encounters Between Judaism and Modern Philosophy","author":[{"family":"Fackenheim","given":"Emil L."}],"issued":{"date-parts":[["1980"]]}},"locator":"31-78","label":"page"}],"schema":"https://github.com/citation-style-language/schema/raw/master/csl-citation.json"}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Emil L. Fackenheim, </w:t>
      </w:r>
      <w:r w:rsidRPr="00BC6C60">
        <w:rPr>
          <w:rFonts w:asciiTheme="majorBidi" w:hAnsiTheme="majorBidi" w:cstheme="majorBidi"/>
          <w:i/>
          <w:iCs/>
          <w:sz w:val="24"/>
          <w:szCs w:val="24"/>
        </w:rPr>
        <w:t>Encounters Between Judaism and Modern Philosophy: A Preface to Future Jewish Thought</w:t>
      </w:r>
      <w:r w:rsidRPr="00BC6C60">
        <w:rPr>
          <w:rFonts w:asciiTheme="majorBidi" w:hAnsiTheme="majorBidi" w:cstheme="majorBidi"/>
          <w:sz w:val="24"/>
          <w:szCs w:val="24"/>
        </w:rPr>
        <w:t xml:space="preserve"> (Schocken Books, 1980), 31–78.</w:t>
      </w:r>
      <w:r w:rsidRPr="00BC6C60">
        <w:rPr>
          <w:rFonts w:asciiTheme="majorBidi" w:hAnsiTheme="majorBidi" w:cstheme="majorBidi"/>
          <w:sz w:val="24"/>
          <w:szCs w:val="24"/>
        </w:rPr>
        <w:fldChar w:fldCharType="end"/>
      </w:r>
    </w:p>
    <w:p xmlns:wp14="http://schemas.microsoft.com/office/word/2010/wordml" w:rsidRPr="00BC6C60" w:rsidR="001B430C" w:rsidP="001224F2" w:rsidRDefault="001B430C" w14:paraId="60061E4C" wp14:textId="77777777">
      <w:pPr>
        <w:pStyle w:val="Funotentext"/>
        <w:rPr>
          <w:rFonts w:asciiTheme="majorBidi" w:hAnsiTheme="majorBidi" w:cstheme="majorBidi"/>
          <w:sz w:val="24"/>
          <w:szCs w:val="24"/>
          <w:u w:val="single"/>
        </w:rPr>
      </w:pPr>
    </w:p>
    <w:p xmlns:wp14="http://schemas.microsoft.com/office/word/2010/wordml" w:rsidRPr="00BC6C60" w:rsidR="001224F2" w:rsidP="0032532A" w:rsidRDefault="001224F2" w14:paraId="4569B2A9" wp14:textId="77777777">
      <w:pPr>
        <w:pStyle w:val="Funotentext"/>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w:t>
      </w:r>
      <w:r w:rsidRPr="00BC6C60" w:rsidR="0032532A">
        <w:rPr>
          <w:rFonts w:asciiTheme="majorBidi" w:hAnsiTheme="majorBidi" w:cstheme="majorBidi"/>
          <w:sz w:val="24"/>
          <w:szCs w:val="24"/>
          <w:u w:val="single"/>
        </w:rPr>
        <w:t>7</w:t>
      </w:r>
      <w:r w:rsidRPr="00BC6C60">
        <w:rPr>
          <w:rFonts w:asciiTheme="majorBidi" w:hAnsiTheme="majorBidi" w:cstheme="majorBidi"/>
          <w:sz w:val="24"/>
          <w:szCs w:val="24"/>
          <w:u w:val="single"/>
        </w:rPr>
        <w:t xml:space="preserve">: Kierkegaard </w:t>
      </w:r>
      <w:r w:rsidRPr="00BC6C60" w:rsidR="00F82EEB">
        <w:rPr>
          <w:rFonts w:asciiTheme="majorBidi" w:hAnsiTheme="majorBidi" w:cstheme="majorBidi"/>
          <w:sz w:val="24"/>
          <w:szCs w:val="24"/>
          <w:u w:val="single"/>
        </w:rPr>
        <w:t>on f</w:t>
      </w:r>
      <w:r w:rsidRPr="00BC6C60">
        <w:rPr>
          <w:rFonts w:asciiTheme="majorBidi" w:hAnsiTheme="majorBidi" w:cstheme="majorBidi"/>
          <w:sz w:val="24"/>
          <w:szCs w:val="24"/>
          <w:u w:val="single"/>
        </w:rPr>
        <w:t>aith</w:t>
      </w:r>
      <w:r w:rsidRPr="00BC6C60" w:rsidR="00F82EEB">
        <w:rPr>
          <w:rFonts w:asciiTheme="majorBidi" w:hAnsiTheme="majorBidi" w:cstheme="majorBidi"/>
          <w:sz w:val="24"/>
          <w:szCs w:val="24"/>
          <w:u w:val="single"/>
        </w:rPr>
        <w:t xml:space="preserve"> by virtue of the absurd</w:t>
      </w:r>
    </w:p>
    <w:p xmlns:wp14="http://schemas.microsoft.com/office/word/2010/wordml" w:rsidRPr="00BC6C60" w:rsidR="00382C49" w:rsidP="00382C49" w:rsidRDefault="00382C49" w14:paraId="20992F99" wp14:textId="77777777">
      <w:pPr>
        <w:pStyle w:val="Funotentext"/>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F13D44">
        <w:rPr>
          <w:rFonts w:asciiTheme="majorBidi" w:hAnsiTheme="majorBidi" w:cstheme="majorBidi"/>
          <w:sz w:val="24"/>
          <w:szCs w:val="24"/>
        </w:rPr>
        <w:instrText xml:space="preserve"> ADDIN ZOTERO_ITEM CSL_CITATION {"citationID":"G9J0E6FA","properties":{"formattedCitation":"S\\uc0\\u248{}ren Kierkegaard, {\\i{}Fear and Trembling, Repetition.}, trans. Howard Vincent Hong and Edna Hong, Kierkegaard\\uc0\\u8217{}s Writings, Vol. VI (Princeton University Press, 2013), 27\\uc0\\u8211{}53, https://doi.org/10.1515/9781400846955.","plainCitation":"Søren Kierkegaard, Fear and Trembling, Repetition., trans. Howard Vincent Hong and Edna Hong, Kierkegaard’s Writings, Vol. VI (Princeton University Press, 2013), 27–53, https://doi.org/10.1515/9781400846955.","dontUpdate":true,"noteIndex":0},"citationItems":[{"id":196,"uris":["http://zotero.org/users/17607884/items/XQ9JMJNF"],"itemData":{"id":196,"type":"book","collection-title":"Kierkegaard's writings, vol. VI","event-place":"Princeton, New Jersey","ISBN":"978-0-691-02026-6","language":"eng","note":"DOI: 10.1515/9781400846955","number-of-pages":"1","publisher":"Princeton University Press","publisher-place":"Princeton, New Jersey","source":"K10plus ISBN","title":"Fear and Trembling, Repetition.","title-short":"Kierkegaard's writings, VI","author":[{"family":"Kierkegaard","given":"Søren"}],"translator":[{"family":"Hong","given":"Howard Vincent"},{"family":"Hong","given":"Edna"}],"issued":{"date-parts":[["2013"]]}},"locator":"27-53","label":"page"}],"schema":"https://github.com/citation-style-language/schema/raw/master/csl-citation.json"}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Søren Kierkegaard, </w:t>
      </w:r>
      <w:r w:rsidRPr="00BC6C60">
        <w:rPr>
          <w:rFonts w:asciiTheme="majorBidi" w:hAnsiTheme="majorBidi" w:cstheme="majorBidi"/>
          <w:i/>
          <w:iCs/>
          <w:sz w:val="24"/>
          <w:szCs w:val="24"/>
        </w:rPr>
        <w:t>Fear and Trembling, Repetition.</w:t>
      </w:r>
      <w:r w:rsidRPr="00BC6C60">
        <w:rPr>
          <w:rFonts w:asciiTheme="majorBidi" w:hAnsiTheme="majorBidi" w:cstheme="majorBidi"/>
          <w:sz w:val="24"/>
          <w:szCs w:val="24"/>
        </w:rPr>
        <w:t xml:space="preserve">, trans. Howard Vincent Hong and Edna Hong, Kierkegaard’s Writings, Vol. VI (Princeton University Press, 2013), 27–53. </w:t>
      </w:r>
      <w:r w:rsidRPr="00BC6C60">
        <w:rPr>
          <w:rFonts w:asciiTheme="majorBidi" w:hAnsiTheme="majorBidi" w:cstheme="majorBidi"/>
          <w:sz w:val="24"/>
          <w:szCs w:val="24"/>
        </w:rPr>
        <w:fldChar w:fldCharType="end"/>
      </w:r>
    </w:p>
    <w:p xmlns:wp14="http://schemas.microsoft.com/office/word/2010/wordml" w:rsidRPr="00BC6C60" w:rsidR="00382C49" w:rsidP="00D87E5A" w:rsidRDefault="00382C49" w14:paraId="44EAFD9C" wp14:textId="77777777">
      <w:pPr>
        <w:pStyle w:val="Funotentext"/>
        <w:rPr>
          <w:rFonts w:asciiTheme="majorBidi" w:hAnsiTheme="majorBidi" w:cstheme="majorBidi"/>
          <w:sz w:val="24"/>
          <w:szCs w:val="24"/>
        </w:rPr>
      </w:pPr>
    </w:p>
    <w:p xmlns:wp14="http://schemas.microsoft.com/office/word/2010/wordml" w:rsidRPr="00BC6C60" w:rsidR="001224F2" w:rsidP="0032532A" w:rsidRDefault="001224F2" w14:paraId="514F409E" wp14:textId="77777777">
      <w:pPr>
        <w:pStyle w:val="Funotentext"/>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w:t>
      </w:r>
      <w:r w:rsidRPr="00BC6C60" w:rsidR="0032532A">
        <w:rPr>
          <w:rFonts w:asciiTheme="majorBidi" w:hAnsiTheme="majorBidi" w:cstheme="majorBidi"/>
          <w:sz w:val="24"/>
          <w:szCs w:val="24"/>
          <w:u w:val="single"/>
        </w:rPr>
        <w:t>8</w:t>
      </w:r>
      <w:r w:rsidRPr="00BC6C60">
        <w:rPr>
          <w:rFonts w:asciiTheme="majorBidi" w:hAnsiTheme="majorBidi" w:cstheme="majorBidi"/>
          <w:sz w:val="24"/>
          <w:szCs w:val="24"/>
          <w:u w:val="single"/>
        </w:rPr>
        <w:t xml:space="preserve">: Kierkegaard </w:t>
      </w:r>
      <w:r w:rsidRPr="00BC6C60" w:rsidR="00F82EEB">
        <w:rPr>
          <w:rFonts w:asciiTheme="majorBidi" w:hAnsiTheme="majorBidi" w:cstheme="majorBidi"/>
          <w:sz w:val="24"/>
          <w:szCs w:val="24"/>
          <w:u w:val="single"/>
        </w:rPr>
        <w:t>on the teleological</w:t>
      </w:r>
      <w:r w:rsidRPr="00BC6C60">
        <w:rPr>
          <w:rFonts w:asciiTheme="majorBidi" w:hAnsiTheme="majorBidi" w:cstheme="majorBidi"/>
          <w:sz w:val="24"/>
          <w:szCs w:val="24"/>
          <w:u w:val="single"/>
        </w:rPr>
        <w:t xml:space="preserve"> </w:t>
      </w:r>
      <w:r w:rsidRPr="00BC6C60" w:rsidR="00F82EEB">
        <w:rPr>
          <w:rFonts w:asciiTheme="majorBidi" w:hAnsiTheme="majorBidi" w:cstheme="majorBidi"/>
          <w:sz w:val="24"/>
          <w:szCs w:val="24"/>
          <w:u w:val="single"/>
        </w:rPr>
        <w:t>suspension of the ethical</w:t>
      </w:r>
    </w:p>
    <w:p xmlns:wp14="http://schemas.microsoft.com/office/word/2010/wordml" w:rsidRPr="00BC6C60" w:rsidR="00D87E5A" w:rsidP="00382C49" w:rsidRDefault="00D87E5A" w14:paraId="734B91F6" wp14:textId="77777777">
      <w:pPr>
        <w:pStyle w:val="Funotentext"/>
        <w:rPr>
          <w:rFonts w:asciiTheme="majorBidi" w:hAnsiTheme="majorBidi" w:cstheme="majorBidi"/>
          <w:sz w:val="24"/>
          <w:szCs w:val="24"/>
        </w:rPr>
      </w:pPr>
      <w:r w:rsidRPr="00BC6C60">
        <w:rPr>
          <w:rFonts w:asciiTheme="majorBidi" w:hAnsiTheme="majorBidi" w:cstheme="majorBidi"/>
          <w:sz w:val="24"/>
          <w:szCs w:val="24"/>
        </w:rPr>
        <w:t xml:space="preserve">Kierkegaard, </w:t>
      </w:r>
      <w:r w:rsidRPr="00BC6C60">
        <w:rPr>
          <w:rFonts w:asciiTheme="majorBidi" w:hAnsiTheme="majorBidi" w:cstheme="majorBidi"/>
          <w:i/>
          <w:iCs/>
          <w:sz w:val="24"/>
          <w:szCs w:val="24"/>
        </w:rPr>
        <w:t>Fear and Trembling</w:t>
      </w:r>
      <w:r w:rsidRPr="00BC6C60">
        <w:rPr>
          <w:rFonts w:asciiTheme="majorBidi" w:hAnsiTheme="majorBidi" w:cstheme="majorBidi"/>
          <w:sz w:val="24"/>
          <w:szCs w:val="24"/>
        </w:rPr>
        <w:t>, 54</w:t>
      </w:r>
      <w:r w:rsidRPr="00BC6C60" w:rsidR="00382C49">
        <w:rPr>
          <w:rFonts w:asciiTheme="majorBidi" w:hAnsiTheme="majorBidi" w:cstheme="majorBidi"/>
          <w:sz w:val="24"/>
          <w:szCs w:val="24"/>
        </w:rPr>
        <w:t>–</w:t>
      </w:r>
      <w:r w:rsidRPr="00BC6C60">
        <w:rPr>
          <w:rFonts w:asciiTheme="majorBidi" w:hAnsiTheme="majorBidi" w:cstheme="majorBidi"/>
          <w:sz w:val="24"/>
          <w:szCs w:val="24"/>
        </w:rPr>
        <w:t>67.</w:t>
      </w:r>
    </w:p>
    <w:p xmlns:wp14="http://schemas.microsoft.com/office/word/2010/wordml" w:rsidRPr="00BC6C60" w:rsidR="001224F2" w:rsidP="00D052E9" w:rsidRDefault="001224F2" w14:paraId="4B94D5A5" wp14:textId="77777777">
      <w:pPr>
        <w:pStyle w:val="Funotentext"/>
        <w:rPr>
          <w:rFonts w:asciiTheme="majorBidi" w:hAnsiTheme="majorBidi" w:cstheme="majorBidi"/>
          <w:sz w:val="24"/>
          <w:szCs w:val="24"/>
        </w:rPr>
      </w:pPr>
    </w:p>
    <w:p xmlns:wp14="http://schemas.microsoft.com/office/word/2010/wordml" w:rsidRPr="00BC6C60" w:rsidR="001224F2" w:rsidP="00BC6C60" w:rsidRDefault="001224F2" w14:paraId="5C15D286" wp14:textId="77777777">
      <w:pPr>
        <w:pStyle w:val="Funotentext"/>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w:t>
      </w:r>
      <w:r w:rsidRPr="00BC6C60" w:rsidR="00004C50">
        <w:rPr>
          <w:rFonts w:asciiTheme="majorBidi" w:hAnsiTheme="majorBidi" w:cstheme="majorBidi"/>
          <w:sz w:val="24"/>
          <w:szCs w:val="24"/>
          <w:u w:val="single"/>
        </w:rPr>
        <w:t>9</w:t>
      </w:r>
      <w:r w:rsidRPr="00BC6C60">
        <w:rPr>
          <w:rFonts w:asciiTheme="majorBidi" w:hAnsiTheme="majorBidi" w:cstheme="majorBidi"/>
          <w:sz w:val="24"/>
          <w:szCs w:val="24"/>
          <w:u w:val="single"/>
        </w:rPr>
        <w:t xml:space="preserve">: </w:t>
      </w:r>
      <w:r w:rsidRPr="00BC6C60" w:rsidR="00C47CD0">
        <w:rPr>
          <w:rFonts w:asciiTheme="majorBidi" w:hAnsiTheme="majorBidi" w:cstheme="majorBidi"/>
          <w:sz w:val="24"/>
          <w:szCs w:val="24"/>
          <w:u w:val="single"/>
        </w:rPr>
        <w:t xml:space="preserve">Faith beyond or within the world? Competing readings of </w:t>
      </w:r>
      <w:r w:rsidR="00BC6C60">
        <w:rPr>
          <w:rFonts w:asciiTheme="majorBidi" w:hAnsiTheme="majorBidi" w:cstheme="majorBidi"/>
          <w:sz w:val="24"/>
          <w:szCs w:val="24"/>
          <w:u w:val="single"/>
        </w:rPr>
        <w:t>Kierkegaard</w:t>
      </w:r>
    </w:p>
    <w:p xmlns:wp14="http://schemas.microsoft.com/office/word/2010/wordml" w:rsidRPr="00BC6C60" w:rsidR="00754502" w:rsidP="005E4C48" w:rsidRDefault="00754502" w14:paraId="797DB170"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B007E8">
        <w:rPr>
          <w:rFonts w:asciiTheme="majorBidi" w:hAnsiTheme="majorBidi" w:cstheme="majorBidi"/>
          <w:sz w:val="24"/>
          <w:szCs w:val="24"/>
        </w:rPr>
        <w:instrText xml:space="preserve"> ADDIN ZOTERO_ITEM CSL_CITATION {"citationID":"Zjqn4MEj","properties":{"formattedCitation":"Clare Carlisle, {\\i{}Kierkegaard\\uc0\\u8217{}s Fear and Trembling: A Reader\\uc0\\u8217{}s Guide}, Continuum Reader\\uc0\\u8217{}s Guides (Continuum, 2010), 70\\uc0\\u8211{}98, 99\\uc0\\u8211{}111.","plainCitation":"Clare Carlisle, Kierkegaard’s Fear and Trembling: A Reader’s Guide, Continuum Reader’s Guides (Continuum, 2010), 70–98, 99–111.","noteIndex":0},"citationItems":[{"id":173,"uris":["http://zotero.org/users/17607884/items/JQHFWLNJ"],"itemData":{"id":173,"type":"book","abstract":"Søren Kierkegaard was without question one of the most important and influential thinkers of the nineteenth century. Fear and Trembling is a classic text in the history of both philosophical and religious thought that still challenges readers with its original philosophical perspective and idiosyncratic literary style. Kierkegaard's 'Fear and Trembling': A Reader's Guide offers a concise and accessible introduction to this hugely important and notoriously demanding work. Written specifically to meet the needs of students coming to Kierkegaard for the first time, the book offers guidance on:. -","collection-title":"Continuum reader's guides","event-place":"London New York","ISBN":"978-1-84706-461-5","language":"eng","number-of-pages":"212","publisher":"Continuum","publisher-place":"London New York","source":"K10plus ISBN","title":"Kierkegaard's Fear and trembling: a reader's guide","title-short":"Kierkegaard's Fear and trembling","author":[{"family":"Carlisle","given":"Clare"}],"issued":{"date-parts":[["2010"]]}},"locator":"70-98, 99-111","label":"page"}],"schema":"https://github.com/citation-style-language/schema/raw/master/csl-citation.json"}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Clare Carlisle, </w:t>
      </w:r>
      <w:r w:rsidRPr="00BC6C60">
        <w:rPr>
          <w:rFonts w:asciiTheme="majorBidi" w:hAnsiTheme="majorBidi" w:cstheme="majorBidi"/>
          <w:i/>
          <w:iCs/>
          <w:sz w:val="24"/>
          <w:szCs w:val="24"/>
        </w:rPr>
        <w:t>Kierkegaard’s Fear and Trembling: A Reader’s Guide</w:t>
      </w:r>
      <w:r w:rsidRPr="00BC6C60">
        <w:rPr>
          <w:rFonts w:asciiTheme="majorBidi" w:hAnsiTheme="majorBidi" w:cstheme="majorBidi"/>
          <w:sz w:val="24"/>
          <w:szCs w:val="24"/>
        </w:rPr>
        <w:t>, Continuum Reader’s Guides (Continuum, 2010), 70–98, 99–111.</w:t>
      </w:r>
      <w:r w:rsidRPr="00BC6C60">
        <w:rPr>
          <w:rFonts w:asciiTheme="majorBidi" w:hAnsiTheme="majorBidi" w:cstheme="majorBidi"/>
          <w:sz w:val="24"/>
          <w:szCs w:val="24"/>
        </w:rPr>
        <w:fldChar w:fldCharType="end"/>
      </w:r>
    </w:p>
    <w:p xmlns:wp14="http://schemas.microsoft.com/office/word/2010/wordml" w:rsidRPr="00BC6C60" w:rsidR="00754502" w:rsidP="005E4C48" w:rsidRDefault="00754502" w14:paraId="3DEEC669" wp14:textId="77777777">
      <w:pPr>
        <w:spacing w:after="0" w:line="240" w:lineRule="auto"/>
        <w:rPr>
          <w:rFonts w:asciiTheme="majorBidi" w:hAnsiTheme="majorBidi" w:cstheme="majorBidi"/>
          <w:sz w:val="24"/>
          <w:szCs w:val="24"/>
        </w:rPr>
      </w:pPr>
    </w:p>
    <w:p xmlns:wp14="http://schemas.microsoft.com/office/word/2010/wordml" w:rsidRPr="00BC6C60" w:rsidR="00862947" w:rsidP="00862947" w:rsidRDefault="00F82EEB" w14:paraId="2E992C84"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Optional:</w:t>
      </w:r>
    </w:p>
    <w:p xmlns:wp14="http://schemas.microsoft.com/office/word/2010/wordml" w:rsidRPr="00BC6C60" w:rsidR="00F82EEB" w:rsidP="001E4001" w:rsidRDefault="00A41864" w14:paraId="22C43266"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B007E8">
        <w:rPr>
          <w:rFonts w:asciiTheme="majorBidi" w:hAnsiTheme="majorBidi" w:cstheme="majorBidi"/>
          <w:sz w:val="24"/>
          <w:szCs w:val="24"/>
        </w:rPr>
        <w:instrText xml:space="preserve"> ADDIN ZOTERO_ITEM CSL_CITATION {"citationID":"jdoFhv34","properties":{"formattedCitation":"David J. Kangas, {\\i{}Kierkegaard\\uc0\\u8217{}s Instant: On Beginnings}, Studies in Continental Thought (Indiana University Press, 2007), 125\\uc0\\u8211{}59; Judith Butler, \\uc0\\u8220{}Kierkegaard\\uc0\\u8217{}s Speculative Despair,\\uc0\\u8221{} in {\\i{}The Age of German Idealism}, ed. Robert C. Solomon and Kathleen M. Higgins, Routledge History of Philosophy, Volume VI (Routledge, 2003); Mark Dooley, {\\i{}The Politics of Exodus: S\\uc0\\u248{}ren Kierkegaard\\uc0\\u8217{}s Ethics of Responsibility}, 1st ed, Perspectives in Continental Philosophy, no. 20 (Fordham University Press, 2001), 56\\uc0\\u8211{}73.","plainCitation":"David J. Kangas, Kierkegaard’s Instant: On Beginnings, Studies in Continental Thought (Indiana University Press, 2007), 125–59; Judith Butler, “Kierkegaard’s Speculative Despair,” in The Age of German Idealism, ed. Robert C. Solomon and Kathleen M. Higgins, Routledge History of Philosophy, Volume VI (Routledge, 2003); Mark Dooley, The Politics of Exodus: Søren Kierkegaard’s Ethics of Responsibility, 1st ed, Perspectives in Continental Philosophy, no. 20 (Fordham University Press, 2001), 56–73.","dontUpdate":true,"noteIndex":0},"citationItems":[{"id":26,"uris":["http://zotero.org/users/17607884/items/7LPBY7WZ"],"itemData":{"id":26,"type":"book","call-number":"B4377 .K36 2007","collection-title":"Studies in Continental thought","event-place":"Bloomington","ISBN":"978-0-253-34859-3","number-of-pages":"235","publisher":"Indiana University Press","publisher-place":"Bloomington","source":"Library of Congress ISBN","title":"Kierkegaard's instant: on beginnings","title-short":"Kierkegaard's instant","author":[{"family":"Kangas","given":"David J."}],"issued":{"date-parts":[["2007"]]}},"locator":"125-159","label":"page"},{"id":177,"uris":["http://zotero.org/users/17607884/items/N9CCS8E8"],"itemData":{"id":177,"type":"chapter","abstract":"Kierkegaard's critique of Hegel concerns primarily the failure of a philosophy of reflection to take account of that which exceeds reflection itself: passion, existence, faith. The irony in Kierkegaard's challenge to Hegelianism is, however, minimally twofold. This chapter tries to make clear why despair is a category or, in Kierkegaard's terms, a sickness and a passion, whose analysis is crucial to both the extension and critique of Hegel in Kierkegaard's work. The opening page of Sickness unto Death appears to be a properly Hegelian exegesis populated with familiar terminology: ‘self,’ ‘spirit,’ ‘mediation,’ ‘relation.’ And yet, as the first paragraph proceeds it becomes clear that Kierkegaard is parodying Hegel's language; significantly, however, this is a parody that does not entail a thorough rejection of Hegel. In Kierkegaard's view, Hegel's ethical community requires the sacrifice of the individual to an anonymous law.","collection-title":"Routledge History of Philosophy, Volume VI","container-title":"The Age of German Idealism","note":"number-of-pages: 33","page":"363-392","publisher":"Routledge","title":"Kierkegaard's Speculative Despair","author":[{"family":"Butler","given":"Judith"}],"editor":[{"family":"Solomon","given":"Robert C."},{"family":"Higgins","given":"Kathleen M."}],"issued":{"date-parts":[["2003"]]}}},{"id":176,"uris":["http://zotero.org/users/17607884/items/NRWU54BZ"],"itemData":{"id":176,"type":"book","call-number":"B4378.E8 D66 2001","collection-number":"no. 20","collection-title":"Perspectives in continental philosophy","edition":"1st ed","event-place":"New York","ISBN":"978-0-8232-2124-0","number-of-pages":"285","publisher":"Fordham University Press","publisher-place":"New York","source":"Library of Congress ISBN","title":"The politics of Exodus: Søren Kierkegaard's ethics of responsibility","title-short":"The politics of Exodus","author":[{"family":"Dooley","given":"Mark"}],"issued":{"date-parts":[["2001"]]}},"locator":"56–73","label":"page"}],"schema":"https://github.com/citation-style-language/schema/raw/master/csl-citation.json"} </w:instrText>
      </w:r>
      <w:r w:rsidRPr="00BC6C60">
        <w:rPr>
          <w:rFonts w:asciiTheme="majorBidi" w:hAnsiTheme="majorBidi" w:cstheme="majorBidi"/>
          <w:sz w:val="24"/>
          <w:szCs w:val="24"/>
        </w:rPr>
        <w:fldChar w:fldCharType="separate"/>
      </w:r>
      <w:proofErr w:type="spellStart"/>
      <w:r w:rsidRPr="00BC6C60" w:rsidR="00F82EEB">
        <w:rPr>
          <w:rFonts w:asciiTheme="majorBidi" w:hAnsiTheme="majorBidi" w:cstheme="majorBidi"/>
          <w:sz w:val="24"/>
          <w:szCs w:val="24"/>
        </w:rPr>
        <w:t>Kangas</w:t>
      </w:r>
      <w:proofErr w:type="spellEnd"/>
      <w:r w:rsidRPr="00BC6C60" w:rsidR="00F82EEB">
        <w:rPr>
          <w:rFonts w:asciiTheme="majorBidi" w:hAnsiTheme="majorBidi" w:cstheme="majorBidi"/>
          <w:sz w:val="24"/>
          <w:szCs w:val="24"/>
        </w:rPr>
        <w:t xml:space="preserve">, </w:t>
      </w:r>
      <w:r w:rsidR="001E4001">
        <w:rPr>
          <w:rFonts w:asciiTheme="majorBidi" w:hAnsiTheme="majorBidi" w:cstheme="majorBidi"/>
          <w:i/>
          <w:iCs/>
          <w:sz w:val="24"/>
          <w:szCs w:val="24"/>
        </w:rPr>
        <w:t>Kierkegaard’s Instant</w:t>
      </w:r>
      <w:r w:rsidRPr="001E4001" w:rsidR="001E4001">
        <w:rPr>
          <w:rFonts w:asciiTheme="majorBidi" w:hAnsiTheme="majorBidi" w:cstheme="majorBidi"/>
          <w:i/>
          <w:iCs/>
          <w:sz w:val="24"/>
          <w:szCs w:val="24"/>
        </w:rPr>
        <w:t xml:space="preserve">, </w:t>
      </w:r>
      <w:r w:rsidRPr="00BC6C60" w:rsidR="00F82EEB">
        <w:rPr>
          <w:rFonts w:asciiTheme="majorBidi" w:hAnsiTheme="majorBidi" w:cstheme="majorBidi"/>
          <w:sz w:val="24"/>
          <w:szCs w:val="24"/>
        </w:rPr>
        <w:t>125–59</w:t>
      </w:r>
      <w:r w:rsidR="00BC6C60">
        <w:rPr>
          <w:rFonts w:asciiTheme="majorBidi" w:hAnsiTheme="majorBidi" w:cstheme="majorBidi"/>
          <w:sz w:val="24"/>
          <w:szCs w:val="24"/>
        </w:rPr>
        <w:t>.</w:t>
      </w:r>
    </w:p>
    <w:p xmlns:wp14="http://schemas.microsoft.com/office/word/2010/wordml" w:rsidRPr="00BC6C60" w:rsidR="00F82EEB" w:rsidP="001E4001" w:rsidRDefault="00F82EEB" w14:paraId="41EAAABC"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Butler, “Kierkegaard’s Speculative Despair,”</w:t>
      </w:r>
      <w:r w:rsidR="001E4001">
        <w:rPr>
          <w:rFonts w:asciiTheme="majorBidi" w:hAnsiTheme="majorBidi" w:cstheme="majorBidi"/>
          <w:sz w:val="24"/>
          <w:szCs w:val="24"/>
        </w:rPr>
        <w:t xml:space="preserve"> </w:t>
      </w:r>
      <w:r w:rsidRPr="00BC6C60" w:rsidR="00C47CD0">
        <w:rPr>
          <w:rFonts w:asciiTheme="majorBidi" w:hAnsiTheme="majorBidi" w:cstheme="majorBidi"/>
          <w:sz w:val="24"/>
          <w:szCs w:val="24"/>
        </w:rPr>
        <w:t>363</w:t>
      </w:r>
      <w:r w:rsidRPr="00BC6C60" w:rsidR="001E4001">
        <w:rPr>
          <w:rFonts w:asciiTheme="majorBidi" w:hAnsiTheme="majorBidi" w:cstheme="majorBidi"/>
          <w:sz w:val="24"/>
          <w:szCs w:val="24"/>
        </w:rPr>
        <w:t>–</w:t>
      </w:r>
      <w:r w:rsidRPr="00BC6C60" w:rsidR="00C47CD0">
        <w:rPr>
          <w:rFonts w:asciiTheme="majorBidi" w:hAnsiTheme="majorBidi" w:cstheme="majorBidi"/>
          <w:sz w:val="24"/>
          <w:szCs w:val="24"/>
        </w:rPr>
        <w:t>391.</w:t>
      </w:r>
    </w:p>
    <w:p xmlns:wp14="http://schemas.microsoft.com/office/word/2010/wordml" w:rsidRPr="00BC6C60" w:rsidR="00A41864" w:rsidP="001E4001" w:rsidRDefault="00F82EEB" w14:paraId="33F2D6F8"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 xml:space="preserve">Dooley, </w:t>
      </w:r>
      <w:proofErr w:type="gramStart"/>
      <w:r w:rsidR="001E4001">
        <w:rPr>
          <w:rFonts w:asciiTheme="majorBidi" w:hAnsiTheme="majorBidi" w:cstheme="majorBidi"/>
          <w:i/>
          <w:iCs/>
          <w:sz w:val="24"/>
          <w:szCs w:val="24"/>
        </w:rPr>
        <w:t>The</w:t>
      </w:r>
      <w:proofErr w:type="gramEnd"/>
      <w:r w:rsidR="001E4001">
        <w:rPr>
          <w:rFonts w:asciiTheme="majorBidi" w:hAnsiTheme="majorBidi" w:cstheme="majorBidi"/>
          <w:i/>
          <w:iCs/>
          <w:sz w:val="24"/>
          <w:szCs w:val="24"/>
        </w:rPr>
        <w:t xml:space="preserve"> Politics of Exodus</w:t>
      </w:r>
      <w:r w:rsidRPr="00BC6C60">
        <w:rPr>
          <w:rFonts w:asciiTheme="majorBidi" w:hAnsiTheme="majorBidi" w:cstheme="majorBidi"/>
          <w:sz w:val="24"/>
          <w:szCs w:val="24"/>
        </w:rPr>
        <w:t>, 56–73.</w:t>
      </w:r>
      <w:r w:rsidRPr="00BC6C60" w:rsidR="00A41864">
        <w:rPr>
          <w:rFonts w:asciiTheme="majorBidi" w:hAnsiTheme="majorBidi" w:cstheme="majorBidi"/>
          <w:sz w:val="24"/>
          <w:szCs w:val="24"/>
        </w:rPr>
        <w:fldChar w:fldCharType="end"/>
      </w:r>
    </w:p>
    <w:p xmlns:wp14="http://schemas.microsoft.com/office/word/2010/wordml" w:rsidRPr="00BC6C60" w:rsidR="005B3F79" w:rsidP="005E4C48" w:rsidRDefault="005B3F79" w14:paraId="3656B9AB" wp14:textId="77777777">
      <w:pPr>
        <w:spacing w:after="0" w:line="240" w:lineRule="auto"/>
        <w:rPr>
          <w:rFonts w:asciiTheme="majorBidi" w:hAnsiTheme="majorBidi" w:cstheme="majorBidi"/>
          <w:sz w:val="24"/>
          <w:szCs w:val="24"/>
        </w:rPr>
      </w:pPr>
    </w:p>
    <w:p xmlns:wp14="http://schemas.microsoft.com/office/word/2010/wordml" w:rsidRPr="00BC6C60" w:rsidR="005B3F79" w:rsidP="00F82EEB" w:rsidRDefault="005B3F79" w14:paraId="39E1A810"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10: </w:t>
      </w:r>
      <w:proofErr w:type="spellStart"/>
      <w:r w:rsidRPr="00BC6C60">
        <w:rPr>
          <w:rFonts w:asciiTheme="majorBidi" w:hAnsiTheme="majorBidi" w:cstheme="majorBidi"/>
          <w:sz w:val="24"/>
          <w:szCs w:val="24"/>
          <w:u w:val="single"/>
        </w:rPr>
        <w:t>Levinas</w:t>
      </w:r>
      <w:proofErr w:type="spellEnd"/>
      <w:r w:rsidRPr="00BC6C60" w:rsidR="00DA4714">
        <w:rPr>
          <w:rFonts w:asciiTheme="majorBidi" w:hAnsiTheme="majorBidi" w:cstheme="majorBidi"/>
          <w:sz w:val="24"/>
          <w:szCs w:val="24"/>
          <w:u w:val="single"/>
        </w:rPr>
        <w:t xml:space="preserve"> on </w:t>
      </w:r>
      <w:r w:rsidRPr="00BC6C60" w:rsidR="00F82EEB">
        <w:rPr>
          <w:rFonts w:asciiTheme="majorBidi" w:hAnsiTheme="majorBidi" w:cstheme="majorBidi"/>
          <w:sz w:val="24"/>
          <w:szCs w:val="24"/>
          <w:u w:val="single"/>
        </w:rPr>
        <w:t>E</w:t>
      </w:r>
      <w:r w:rsidRPr="00BC6C60" w:rsidR="00DA4714">
        <w:rPr>
          <w:rFonts w:asciiTheme="majorBidi" w:hAnsiTheme="majorBidi" w:cstheme="majorBidi"/>
          <w:sz w:val="24"/>
          <w:szCs w:val="24"/>
          <w:u w:val="single"/>
        </w:rPr>
        <w:t>thics</w:t>
      </w:r>
      <w:r w:rsidRPr="00BC6C60" w:rsidR="00F82EEB">
        <w:rPr>
          <w:rFonts w:asciiTheme="majorBidi" w:hAnsiTheme="majorBidi" w:cstheme="majorBidi"/>
          <w:sz w:val="24"/>
          <w:szCs w:val="24"/>
          <w:u w:val="single"/>
        </w:rPr>
        <w:t xml:space="preserve"> as F</w:t>
      </w:r>
      <w:r w:rsidRPr="00BC6C60" w:rsidR="00DA4714">
        <w:rPr>
          <w:rFonts w:asciiTheme="majorBidi" w:hAnsiTheme="majorBidi" w:cstheme="majorBidi"/>
          <w:sz w:val="24"/>
          <w:szCs w:val="24"/>
          <w:u w:val="single"/>
        </w:rPr>
        <w:t xml:space="preserve">irst </w:t>
      </w:r>
      <w:r w:rsidRPr="00BC6C60" w:rsidR="00F82EEB">
        <w:rPr>
          <w:rFonts w:asciiTheme="majorBidi" w:hAnsiTheme="majorBidi" w:cstheme="majorBidi"/>
          <w:sz w:val="24"/>
          <w:szCs w:val="24"/>
          <w:u w:val="single"/>
        </w:rPr>
        <w:t>P</w:t>
      </w:r>
      <w:r w:rsidRPr="00BC6C60" w:rsidR="00DA4714">
        <w:rPr>
          <w:rFonts w:asciiTheme="majorBidi" w:hAnsiTheme="majorBidi" w:cstheme="majorBidi"/>
          <w:sz w:val="24"/>
          <w:szCs w:val="24"/>
          <w:u w:val="single"/>
        </w:rPr>
        <w:t>hilosophy</w:t>
      </w:r>
    </w:p>
    <w:p xmlns:wp14="http://schemas.microsoft.com/office/word/2010/wordml" w:rsidRPr="00BC6C60" w:rsidR="00DA4714" w:rsidP="005E4C48" w:rsidRDefault="00DA4714" w14:paraId="3725AD24"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{"citationID":"CKRE7EdJ","properties":{"formattedCitation":"Emmanuel L\\uc0\\u233{}vinas, {\\i{}Totality and Infinity: An Essay on Exteriority}, 23rd printing, trans. Alphonso Lingis (Duquesne University Press, 2011), 11\\uc0\\u8211{}20.","plainCitation":"Emmanuel Lévinas, Totality and Infinity: An Essay on Exteriority, 23rd printing, trans. Alphonso Lingis (Duquesne University Press, 2011), 11–20.","noteIndex":0},"citationItems":[{"id":169,"uris":["http://zotero.org/users/17607884/items/ZPIBXL5T"],"itemData":{"id":169,"type":"book","edition":"23rd printing","event-place":"Pittsburgh","ISBN":"978-0-8207-0245-2","language":"eng","number-of-pages":"314","publisher":"Duquesne University Press","publisher-place":"Pittsburgh","source":"K10plus ISBN","title":"Totality and Infinity: an Essay on Exteriority","title-short":"Totality and infinity","author":[{"family":"Lévinas","given":"Emmanuel"}],"translator":[{"family":"Lingis","given":"Alphonso"}],"issued":{"date-parts":[["2011"]]}},"locator":"11-20","label":"page"}],"schema":"https://github.com/citation-style-language/schema/raw/master/csl-citation.json"}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Emmanuel Lévinas, </w:t>
      </w:r>
      <w:r w:rsidRPr="00BC6C60">
        <w:rPr>
          <w:rFonts w:asciiTheme="majorBidi" w:hAnsiTheme="majorBidi" w:cstheme="majorBidi"/>
          <w:i/>
          <w:iCs/>
          <w:sz w:val="24"/>
          <w:szCs w:val="24"/>
        </w:rPr>
        <w:t>Totality and Infinity: An Essay on Exteriority</w:t>
      </w:r>
      <w:r w:rsidRPr="00BC6C60">
        <w:rPr>
          <w:rFonts w:asciiTheme="majorBidi" w:hAnsiTheme="majorBidi" w:cstheme="majorBidi"/>
          <w:sz w:val="24"/>
          <w:szCs w:val="24"/>
        </w:rPr>
        <w:t>, 23rd printing, trans. Alphonso Lingis (Duquesne University Press, 2011), 11–20.</w:t>
      </w:r>
      <w:r w:rsidRPr="00BC6C60">
        <w:rPr>
          <w:rFonts w:asciiTheme="majorBidi" w:hAnsiTheme="majorBidi" w:cstheme="majorBidi"/>
          <w:sz w:val="24"/>
          <w:szCs w:val="24"/>
        </w:rPr>
        <w:fldChar w:fldCharType="end"/>
      </w:r>
    </w:p>
    <w:p xmlns:wp14="http://schemas.microsoft.com/office/word/2010/wordml" w:rsidRPr="00BC6C60" w:rsidR="00C01580" w:rsidP="005E4C48" w:rsidRDefault="00C01580" w14:paraId="45FB0818" wp14:textId="77777777">
      <w:pPr>
        <w:spacing w:after="0" w:line="240" w:lineRule="auto"/>
        <w:rPr>
          <w:rFonts w:asciiTheme="majorBidi" w:hAnsiTheme="majorBidi" w:cstheme="majorBidi"/>
          <w:sz w:val="24"/>
          <w:szCs w:val="24"/>
        </w:rPr>
      </w:pPr>
    </w:p>
    <w:p xmlns:wp14="http://schemas.microsoft.com/office/word/2010/wordml" w:rsidRPr="00BC6C60" w:rsidR="00C01580" w:rsidP="00C01580" w:rsidRDefault="00C01580" w14:paraId="27CA8E7E"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 xml:space="preserve">Optional: </w:t>
      </w:r>
      <w:r w:rsidRPr="00BC6C60">
        <w:rPr>
          <w:rFonts w:asciiTheme="majorBidi" w:hAnsiTheme="majorBidi" w:cstheme="majorBidi"/>
          <w:sz w:val="24"/>
          <w:szCs w:val="24"/>
        </w:rPr>
        <w:fldChar w:fldCharType="begin"/>
      </w:r>
      <w:r w:rsidRPr="00BC6C60" w:rsidR="00B007E8">
        <w:rPr>
          <w:rFonts w:asciiTheme="majorBidi" w:hAnsiTheme="majorBidi" w:cstheme="majorBidi"/>
          <w:sz w:val="24"/>
          <w:szCs w:val="24"/>
        </w:rPr>
        <w:instrText xml:space="preserve"> ADDIN ZOTERO_ITEM CSL_CITATION {"citationID":"vs91wRIp","properties":{"formattedCitation":"Emmanuel L\\uc0\\u233{}vinas, {\\i{}Ethics and Infinity. Conversations with Philippe Nemo}, trans. Richard A. Cohen (Duquesne University Press, 1985), 73\\uc0\\u8211{}102.","plainCitation":"Emmanuel Lévinas, Ethics and Infinity. Conversations with Philippe Nemo, trans. Richard A. Cohen (Duquesne University Press, 1985), 73–102.","noteIndex":0},"citationItems":[{"id":168,"uris":["http://zotero.org/users/17607884/items/6XILNGWI"],"itemData":{"id":168,"type":"book","event-place":"Pittsburgh","ISBN":"978-0-8207-0178-3","number-of-pages":"126","publisher":"Duquesne University Press","publisher-place":"Pittsburgh","source":"K10plus ISBN","title":"Ethics and infinity. Conversations with Philippe Nemo","author":[{"family":"Lévinas","given":"Emmanuel"}],"translator":[{"family":"Cohen","given":"Richard A."}],"issued":{"date-parts":[["1985"]]}},"locator":"73-102","label":"page"}],"schema":"https://github.com/citation-style-language/schema/raw/master/csl-citation.json"}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Emmanuel Lévinas, </w:t>
      </w:r>
      <w:r w:rsidRPr="00BC6C60">
        <w:rPr>
          <w:rFonts w:asciiTheme="majorBidi" w:hAnsiTheme="majorBidi" w:cstheme="majorBidi"/>
          <w:i/>
          <w:iCs/>
          <w:sz w:val="24"/>
          <w:szCs w:val="24"/>
        </w:rPr>
        <w:t>Ethics and Infinity. Conversations with Philippe Nemo</w:t>
      </w:r>
      <w:r w:rsidRPr="00BC6C60">
        <w:rPr>
          <w:rFonts w:asciiTheme="majorBidi" w:hAnsiTheme="majorBidi" w:cstheme="majorBidi"/>
          <w:sz w:val="24"/>
          <w:szCs w:val="24"/>
        </w:rPr>
        <w:t>, trans. Richard A. Cohen (Duquesne University Press, 1985), 73–102.</w:t>
      </w:r>
      <w:r w:rsidRPr="00BC6C60">
        <w:rPr>
          <w:rFonts w:asciiTheme="majorBidi" w:hAnsiTheme="majorBidi" w:cstheme="majorBidi"/>
          <w:sz w:val="24"/>
          <w:szCs w:val="24"/>
        </w:rPr>
        <w:fldChar w:fldCharType="end"/>
      </w:r>
    </w:p>
    <w:p xmlns:wp14="http://schemas.microsoft.com/office/word/2010/wordml" w:rsidRPr="00BC6C60" w:rsidR="00C01580" w:rsidP="005E4C48" w:rsidRDefault="00C01580" w14:paraId="049F31CB" wp14:textId="77777777">
      <w:pPr>
        <w:spacing w:after="0" w:line="240" w:lineRule="auto"/>
        <w:rPr>
          <w:rFonts w:asciiTheme="majorBidi" w:hAnsiTheme="majorBidi" w:cstheme="majorBidi"/>
          <w:sz w:val="24"/>
          <w:szCs w:val="24"/>
        </w:rPr>
      </w:pPr>
    </w:p>
    <w:p xmlns:wp14="http://schemas.microsoft.com/office/word/2010/wordml" w:rsidRPr="00BC6C60" w:rsidR="005B3F79" w:rsidP="00F125A8" w:rsidRDefault="005B3F79" w14:paraId="254CA357"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11: </w:t>
      </w:r>
      <w:proofErr w:type="spellStart"/>
      <w:r w:rsidRPr="00BC6C60" w:rsidR="00F125A8">
        <w:rPr>
          <w:rFonts w:asciiTheme="majorBidi" w:hAnsiTheme="majorBidi" w:cstheme="majorBidi"/>
          <w:sz w:val="24"/>
          <w:szCs w:val="24"/>
          <w:u w:val="single"/>
        </w:rPr>
        <w:t>Levinas</w:t>
      </w:r>
      <w:proofErr w:type="spellEnd"/>
      <w:r w:rsidRPr="00BC6C60" w:rsidR="00F125A8">
        <w:rPr>
          <w:rFonts w:asciiTheme="majorBidi" w:hAnsiTheme="majorBidi" w:cstheme="majorBidi"/>
          <w:sz w:val="24"/>
          <w:szCs w:val="24"/>
          <w:u w:val="single"/>
        </w:rPr>
        <w:t xml:space="preserve"> on Ethics as First Philosophy</w:t>
      </w:r>
      <w:r w:rsidR="00F125A8">
        <w:rPr>
          <w:rFonts w:asciiTheme="majorBidi" w:hAnsiTheme="majorBidi" w:cstheme="majorBidi"/>
          <w:sz w:val="24"/>
          <w:szCs w:val="24"/>
          <w:u w:val="single"/>
        </w:rPr>
        <w:t xml:space="preserve"> (continued) </w:t>
      </w:r>
    </w:p>
    <w:p xmlns:wp14="http://schemas.microsoft.com/office/word/2010/wordml" w:rsidRPr="00BC6C60" w:rsidR="00DA4714" w:rsidP="00D9396C" w:rsidRDefault="00DA4714" w14:paraId="15887375"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sidR="00D9396C">
        <w:rPr>
          <w:rFonts w:asciiTheme="majorBidi" w:hAnsiTheme="majorBidi" w:cstheme="majorBidi"/>
          <w:sz w:val="24"/>
          <w:szCs w:val="24"/>
        </w:rPr>
        <w:instrText xml:space="preserve"> ADDIN ZOTERO_ITEM CSL_CITATION {"citationID":"jCpHUjeV","properties":{"formattedCitation":"L\\uc0\\u233{}vinas, {\\i{}Totality and Infinity}, 21\\uc0\\u8211{}32.","plainCitation":"Lévinas, Totality and Infinity, 21–32.","noteIndex":0},"citationItems":[{"id":169,"uris":["http://zotero.org/users/17607884/items/ZPIBXL5T"],"itemData":{"id":169,"type":"book","edition":"23rd printing","event-place":"Pittsburgh","ISBN":"978-0-8207-0245-2","language":"eng","number-of-pages":"314","publisher":"Duquesne University Press","publisher-place":"Pittsburgh","source":"K10plus ISBN","title":"Totality and Infinity: an Essay on Exteriority","title-short":"Totality and infinity","author":[{"family":"Lévinas","given":"Emmanuel"}],"translator":[{"family":"Lingis","given":"Alphonso"}],"issued":{"date-parts":[["2011"]]}},"locator":"21-32","label":"page"}],"schema":"https://github.com/citation-style-language/schema/raw/master/csl-citation.json"} </w:instrText>
      </w:r>
      <w:r w:rsidRPr="00BC6C60">
        <w:rPr>
          <w:rFonts w:asciiTheme="majorBidi" w:hAnsiTheme="majorBidi" w:cstheme="majorBidi"/>
          <w:sz w:val="24"/>
          <w:szCs w:val="24"/>
        </w:rPr>
        <w:fldChar w:fldCharType="separate"/>
      </w:r>
      <w:r w:rsidRPr="00BC6C60" w:rsidR="00D9396C">
        <w:rPr>
          <w:rFonts w:asciiTheme="majorBidi" w:hAnsiTheme="majorBidi" w:cstheme="majorBidi"/>
          <w:sz w:val="24"/>
          <w:szCs w:val="24"/>
        </w:rPr>
        <w:t xml:space="preserve">Lévinas, </w:t>
      </w:r>
      <w:r w:rsidRPr="00BC6C60" w:rsidR="00D9396C">
        <w:rPr>
          <w:rFonts w:asciiTheme="majorBidi" w:hAnsiTheme="majorBidi" w:cstheme="majorBidi"/>
          <w:i/>
          <w:iCs/>
          <w:sz w:val="24"/>
          <w:szCs w:val="24"/>
        </w:rPr>
        <w:t>Totality and Infinity</w:t>
      </w:r>
      <w:r w:rsidRPr="00BC6C60" w:rsidR="00D9396C">
        <w:rPr>
          <w:rFonts w:asciiTheme="majorBidi" w:hAnsiTheme="majorBidi" w:cstheme="majorBidi"/>
          <w:sz w:val="24"/>
          <w:szCs w:val="24"/>
        </w:rPr>
        <w:t>, 21–32.</w:t>
      </w:r>
      <w:r w:rsidRPr="00BC6C60">
        <w:rPr>
          <w:rFonts w:asciiTheme="majorBidi" w:hAnsiTheme="majorBidi" w:cstheme="majorBidi"/>
          <w:sz w:val="24"/>
          <w:szCs w:val="24"/>
        </w:rPr>
        <w:fldChar w:fldCharType="end"/>
      </w:r>
    </w:p>
    <w:p xmlns:wp14="http://schemas.microsoft.com/office/word/2010/wordml" w:rsidRPr="00BC6C60" w:rsidR="00DA4714" w:rsidP="005B3F79" w:rsidRDefault="00DA4714" w14:paraId="53128261" wp14:textId="77777777">
      <w:pPr>
        <w:spacing w:after="0" w:line="240" w:lineRule="auto"/>
        <w:rPr>
          <w:rFonts w:asciiTheme="majorBidi" w:hAnsiTheme="majorBidi" w:cstheme="majorBidi"/>
          <w:sz w:val="24"/>
          <w:szCs w:val="24"/>
        </w:rPr>
      </w:pPr>
    </w:p>
    <w:p xmlns:wp14="http://schemas.microsoft.com/office/word/2010/wordml" w:rsidRPr="00BC6C60" w:rsidR="005B3F79" w:rsidP="005B3F79" w:rsidRDefault="005B3F79" w14:paraId="2E5B0391"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 xml:space="preserve">Session 12: </w:t>
      </w:r>
      <w:proofErr w:type="spellStart"/>
      <w:r w:rsidRPr="00BC6C60">
        <w:rPr>
          <w:rFonts w:asciiTheme="majorBidi" w:hAnsiTheme="majorBidi" w:cstheme="majorBidi"/>
          <w:sz w:val="24"/>
          <w:szCs w:val="24"/>
          <w:u w:val="single"/>
        </w:rPr>
        <w:t>Levinas</w:t>
      </w:r>
      <w:proofErr w:type="spellEnd"/>
      <w:r w:rsidRPr="00BC6C60">
        <w:rPr>
          <w:rFonts w:asciiTheme="majorBidi" w:hAnsiTheme="majorBidi" w:cstheme="majorBidi"/>
          <w:sz w:val="24"/>
          <w:szCs w:val="24"/>
          <w:u w:val="single"/>
        </w:rPr>
        <w:t xml:space="preserve"> on the </w:t>
      </w:r>
      <w:proofErr w:type="spellStart"/>
      <w:r w:rsidRPr="00BC6C60">
        <w:rPr>
          <w:rFonts w:asciiTheme="majorBidi" w:hAnsiTheme="majorBidi" w:cstheme="majorBidi"/>
          <w:sz w:val="24"/>
          <w:szCs w:val="24"/>
          <w:u w:val="single"/>
        </w:rPr>
        <w:t>Akedah</w:t>
      </w:r>
      <w:proofErr w:type="spellEnd"/>
    </w:p>
    <w:p xmlns:wp14="http://schemas.microsoft.com/office/word/2010/wordml" w:rsidRPr="00BC6C60" w:rsidR="00F64E00" w:rsidP="00D9396C" w:rsidRDefault="001B393A" w14:paraId="419EA90C"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 xml:space="preserve">Emmanuel </w:t>
      </w:r>
      <w:proofErr w:type="spellStart"/>
      <w:r w:rsidRPr="00BC6C60">
        <w:rPr>
          <w:rFonts w:asciiTheme="majorBidi" w:hAnsiTheme="majorBidi" w:cstheme="majorBidi"/>
          <w:sz w:val="24"/>
          <w:szCs w:val="24"/>
        </w:rPr>
        <w:t>Lévinas</w:t>
      </w:r>
      <w:proofErr w:type="spellEnd"/>
      <w:r w:rsidRPr="00BC6C60">
        <w:rPr>
          <w:rFonts w:asciiTheme="majorBidi" w:hAnsiTheme="majorBidi" w:cstheme="majorBidi"/>
          <w:sz w:val="24"/>
          <w:szCs w:val="24"/>
        </w:rPr>
        <w:t xml:space="preserve">, </w:t>
      </w:r>
      <w:r w:rsidRPr="00BC6C60" w:rsidR="009C4199">
        <w:rPr>
          <w:rFonts w:asciiTheme="majorBidi" w:hAnsiTheme="majorBidi" w:cstheme="majorBidi"/>
          <w:sz w:val="24"/>
          <w:szCs w:val="24"/>
        </w:rPr>
        <w:t xml:space="preserve">“Kierkegaard: </w:t>
      </w:r>
      <w:r w:rsidRPr="00BC6C60" w:rsidR="009C4199">
        <w:rPr>
          <w:rFonts w:asciiTheme="majorBidi" w:hAnsiTheme="majorBidi" w:cstheme="majorBidi"/>
          <w:iCs/>
          <w:sz w:val="24"/>
          <w:szCs w:val="24"/>
        </w:rPr>
        <w:t>Existence and Ethics</w:t>
      </w:r>
      <w:r w:rsidRPr="00BC6C60" w:rsidR="009C4199">
        <w:rPr>
          <w:rFonts w:asciiTheme="majorBidi" w:hAnsiTheme="majorBidi" w:cstheme="majorBidi"/>
          <w:sz w:val="24"/>
          <w:szCs w:val="24"/>
        </w:rPr>
        <w:t xml:space="preserve">” and </w:t>
      </w:r>
      <w:r w:rsidRPr="00BC6C60" w:rsidR="00F64E00">
        <w:rPr>
          <w:rFonts w:asciiTheme="majorBidi" w:hAnsiTheme="majorBidi" w:cstheme="majorBidi"/>
          <w:sz w:val="24"/>
          <w:szCs w:val="24"/>
        </w:rPr>
        <w:t>“</w:t>
      </w:r>
      <w:r w:rsidRPr="00BC6C60" w:rsidR="00F64E00">
        <w:rPr>
          <w:rStyle w:val="highlight"/>
          <w:rFonts w:asciiTheme="majorBidi" w:hAnsiTheme="majorBidi" w:cstheme="majorBidi"/>
          <w:sz w:val="24"/>
          <w:szCs w:val="24"/>
        </w:rPr>
        <w:t xml:space="preserve">A </w:t>
      </w:r>
      <w:r w:rsidRPr="00BC6C60" w:rsidR="00D9396C">
        <w:rPr>
          <w:rStyle w:val="highlight"/>
          <w:rFonts w:asciiTheme="majorBidi" w:hAnsiTheme="majorBidi" w:cstheme="majorBidi"/>
          <w:sz w:val="24"/>
          <w:szCs w:val="24"/>
        </w:rPr>
        <w:t>P</w:t>
      </w:r>
      <w:r w:rsidRPr="00BC6C60" w:rsidR="00F64E00">
        <w:rPr>
          <w:rStyle w:val="highlight"/>
          <w:rFonts w:asciiTheme="majorBidi" w:hAnsiTheme="majorBidi" w:cstheme="majorBidi"/>
          <w:sz w:val="24"/>
          <w:szCs w:val="24"/>
        </w:rPr>
        <w:t xml:space="preserve">ropos Kierkegaard </w:t>
      </w:r>
      <w:proofErr w:type="spellStart"/>
      <w:r w:rsidRPr="00BC6C60" w:rsidR="00F64E00">
        <w:rPr>
          <w:rStyle w:val="highlight"/>
          <w:rFonts w:asciiTheme="majorBidi" w:hAnsiTheme="majorBidi" w:cstheme="majorBidi"/>
          <w:sz w:val="24"/>
          <w:szCs w:val="24"/>
        </w:rPr>
        <w:t>Vivan</w:t>
      </w:r>
      <w:proofErr w:type="spellEnd"/>
      <w:r w:rsidRPr="00BC6C60" w:rsidR="00F64E00">
        <w:rPr>
          <w:rStyle w:val="highlight"/>
          <w:rFonts w:asciiTheme="majorBidi" w:hAnsiTheme="majorBidi" w:cstheme="majorBidi"/>
          <w:sz w:val="24"/>
          <w:szCs w:val="24"/>
        </w:rPr>
        <w:t xml:space="preserve">”, in </w:t>
      </w:r>
      <w:r w:rsidRPr="00BC6C60" w:rsidR="00F64E00">
        <w:rPr>
          <w:rFonts w:asciiTheme="majorBidi" w:hAnsiTheme="majorBidi" w:cstheme="majorBidi"/>
          <w:i/>
          <w:iCs/>
          <w:sz w:val="24"/>
          <w:szCs w:val="24"/>
        </w:rPr>
        <w:t>Proper Names</w:t>
      </w:r>
      <w:r w:rsidRPr="00BC6C60" w:rsidR="00F64E00">
        <w:rPr>
          <w:rFonts w:asciiTheme="majorBidi" w:hAnsiTheme="majorBidi" w:cstheme="majorBidi"/>
          <w:sz w:val="24"/>
          <w:szCs w:val="24"/>
        </w:rPr>
        <w:t>, translated by Michael Smith (Stanford, CA: Stanford University Press, 199</w:t>
      </w:r>
      <w:r w:rsidRPr="00BC6C60" w:rsidR="00D9396C">
        <w:rPr>
          <w:rFonts w:asciiTheme="majorBidi" w:hAnsiTheme="majorBidi" w:cstheme="majorBidi"/>
          <w:sz w:val="24"/>
          <w:szCs w:val="24"/>
        </w:rPr>
        <w:t>7</w:t>
      </w:r>
      <w:r w:rsidRPr="00BC6C60" w:rsidR="009C4199">
        <w:rPr>
          <w:rFonts w:asciiTheme="majorBidi" w:hAnsiTheme="majorBidi" w:cstheme="majorBidi"/>
          <w:sz w:val="24"/>
          <w:szCs w:val="24"/>
        </w:rPr>
        <w:t xml:space="preserve">, </w:t>
      </w:r>
    </w:p>
    <w:p xmlns:wp14="http://schemas.microsoft.com/office/word/2010/wordml" w:rsidRPr="00BC6C60" w:rsidR="001B393A" w:rsidP="009C4199" w:rsidRDefault="009C4199" w14:paraId="69651E1F" wp14:textId="77777777">
      <w:pPr>
        <w:spacing w:after="0" w:line="240" w:lineRule="auto"/>
        <w:rPr>
          <w:rFonts w:asciiTheme="majorBidi" w:hAnsiTheme="majorBidi" w:cstheme="majorBidi"/>
          <w:sz w:val="24"/>
          <w:szCs w:val="24"/>
        </w:rPr>
      </w:pPr>
      <w:r w:rsidRPr="00BC6C60">
        <w:rPr>
          <w:rStyle w:val="highlight"/>
          <w:rFonts w:asciiTheme="majorBidi" w:hAnsiTheme="majorBidi" w:cstheme="majorBidi"/>
          <w:sz w:val="24"/>
          <w:szCs w:val="24"/>
        </w:rPr>
        <w:t>66-79.</w:t>
      </w:r>
    </w:p>
    <w:p xmlns:wp14="http://schemas.microsoft.com/office/word/2010/wordml" w:rsidRPr="00BC6C60" w:rsidR="005B3F79" w:rsidP="00265BE4" w:rsidRDefault="005B3F79" w14:paraId="62486C05" wp14:textId="77777777">
      <w:pPr>
        <w:spacing w:after="0" w:line="240" w:lineRule="auto"/>
        <w:rPr>
          <w:rFonts w:asciiTheme="majorBidi" w:hAnsiTheme="majorBidi" w:cstheme="majorBidi"/>
          <w:sz w:val="24"/>
          <w:szCs w:val="24"/>
        </w:rPr>
      </w:pPr>
    </w:p>
    <w:p xmlns:wp14="http://schemas.microsoft.com/office/word/2010/wordml" w:rsidRPr="00BC6C60" w:rsidR="005B3F79" w:rsidP="00F125A8" w:rsidRDefault="005B3F79" w14:paraId="5530D67A"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Session 13: Derrida</w:t>
      </w:r>
      <w:r w:rsidR="00F125A8">
        <w:rPr>
          <w:rFonts w:asciiTheme="majorBidi" w:hAnsiTheme="majorBidi" w:cstheme="majorBidi"/>
          <w:sz w:val="24"/>
          <w:szCs w:val="24"/>
          <w:u w:val="single"/>
        </w:rPr>
        <w:t xml:space="preserve"> - d</w:t>
      </w:r>
      <w:r w:rsidRPr="00F125A8" w:rsidR="00F125A8">
        <w:rPr>
          <w:rFonts w:asciiTheme="majorBidi" w:hAnsiTheme="majorBidi" w:cstheme="majorBidi"/>
          <w:sz w:val="24"/>
          <w:szCs w:val="24"/>
          <w:u w:val="single"/>
        </w:rPr>
        <w:t>econstruct</w:t>
      </w:r>
      <w:r w:rsidR="00F125A8">
        <w:rPr>
          <w:rFonts w:asciiTheme="majorBidi" w:hAnsiTheme="majorBidi" w:cstheme="majorBidi"/>
          <w:sz w:val="24"/>
          <w:szCs w:val="24"/>
          <w:u w:val="single"/>
        </w:rPr>
        <w:t xml:space="preserve">ing Kierkegaard’s and </w:t>
      </w:r>
      <w:proofErr w:type="spellStart"/>
      <w:r w:rsidR="00F125A8">
        <w:rPr>
          <w:rFonts w:asciiTheme="majorBidi" w:hAnsiTheme="majorBidi" w:cstheme="majorBidi"/>
          <w:sz w:val="24"/>
          <w:szCs w:val="24"/>
          <w:u w:val="single"/>
        </w:rPr>
        <w:t>Levinas’</w:t>
      </w:r>
      <w:r w:rsidRPr="00F125A8" w:rsidR="00F125A8">
        <w:rPr>
          <w:rFonts w:asciiTheme="majorBidi" w:hAnsiTheme="majorBidi" w:cstheme="majorBidi"/>
          <w:sz w:val="24"/>
          <w:szCs w:val="24"/>
          <w:u w:val="single"/>
        </w:rPr>
        <w:t>s</w:t>
      </w:r>
      <w:proofErr w:type="spellEnd"/>
      <w:r w:rsidRPr="00F125A8" w:rsidR="00F125A8">
        <w:rPr>
          <w:rFonts w:asciiTheme="majorBidi" w:hAnsiTheme="majorBidi" w:cstheme="majorBidi"/>
          <w:sz w:val="24"/>
          <w:szCs w:val="24"/>
          <w:u w:val="single"/>
        </w:rPr>
        <w:t xml:space="preserve"> </w:t>
      </w:r>
      <w:r w:rsidR="00F125A8">
        <w:rPr>
          <w:rFonts w:asciiTheme="majorBidi" w:hAnsiTheme="majorBidi" w:cstheme="majorBidi"/>
          <w:sz w:val="24"/>
          <w:szCs w:val="24"/>
          <w:u w:val="single"/>
        </w:rPr>
        <w:t>absolute d</w:t>
      </w:r>
      <w:r w:rsidRPr="00F125A8" w:rsidR="00F125A8">
        <w:rPr>
          <w:rFonts w:asciiTheme="majorBidi" w:hAnsiTheme="majorBidi" w:cstheme="majorBidi"/>
          <w:sz w:val="24"/>
          <w:szCs w:val="24"/>
          <w:u w:val="single"/>
        </w:rPr>
        <w:t>emand</w:t>
      </w:r>
    </w:p>
    <w:p xmlns:wp14="http://schemas.microsoft.com/office/word/2010/wordml" w:rsidRPr="00BC6C60" w:rsidR="008A27D1" w:rsidP="005C3B9C" w:rsidRDefault="008A27D1" w14:paraId="13D6B2EF"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{"citationID":"dWeQpsUz","properties":{"formattedCitation":"Jacques Derrida, {\\i{}The Gift of Death}, Paperback ed, trans. David Wills, Religion and Postmodernism (University of Chicago Press, 1996), 53\\uc0\\u8211{}81.","plainCitation":"Jacques Derrida, The Gift of Death, Paperback ed, trans. David Wills, Religion and Postmodernism (University of Chicago Press, 1996), 53–81.","noteIndex":1},"citationItems":[{"id":198,"uris":["http://zotero.org/users/17607884/items/CQ6IE4CQ"],"itemData":{"id":198,"type":"book","collection-title":"Religion and postmodernism","edition":"Paperback ed","event-place":"Chicago, Ill.","ISBN":"978-0-226-14305-7","language":"eng","number-of-pages":"115","publisher":"University of Chicago Press","publisher-place":"Chicago, Ill.","source":"K10plus ISBN","title":"The gift of death","author":[{"family":"Derrida","given":"Jacques"}],"translator":[{"family":"Wills","given":"David"}],"issued":{"date-parts":[["1996"]]}},"locator":"53-81","label":"page"}],"schema":"https://github.com/citation-style-language/schema/raw/master/csl-citation.json"}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Jacques Derrida, </w:t>
      </w:r>
      <w:r w:rsidRPr="00BC6C60">
        <w:rPr>
          <w:rFonts w:asciiTheme="majorBidi" w:hAnsiTheme="majorBidi" w:cstheme="majorBidi"/>
          <w:i/>
          <w:iCs/>
          <w:sz w:val="24"/>
          <w:szCs w:val="24"/>
        </w:rPr>
        <w:t>The Gift of Death</w:t>
      </w:r>
      <w:r w:rsidRPr="00BC6C60">
        <w:rPr>
          <w:rFonts w:asciiTheme="majorBidi" w:hAnsiTheme="majorBidi" w:cstheme="majorBidi"/>
          <w:sz w:val="24"/>
          <w:szCs w:val="24"/>
        </w:rPr>
        <w:t xml:space="preserve">, trans. </w:t>
      </w:r>
      <w:r w:rsidRPr="00BC6C60" w:rsidR="005C3B9C">
        <w:rPr>
          <w:rFonts w:asciiTheme="majorBidi" w:hAnsiTheme="majorBidi" w:cstheme="majorBidi"/>
          <w:sz w:val="24"/>
          <w:szCs w:val="24"/>
        </w:rPr>
        <w:t xml:space="preserve">by </w:t>
      </w:r>
      <w:r w:rsidRPr="00BC6C60">
        <w:rPr>
          <w:rFonts w:asciiTheme="majorBidi" w:hAnsiTheme="majorBidi" w:cstheme="majorBidi"/>
          <w:sz w:val="24"/>
          <w:szCs w:val="24"/>
        </w:rPr>
        <w:t>David Wills, (University of Chicago Press, 1996), 53–81.</w:t>
      </w:r>
      <w:r w:rsidRPr="00BC6C60">
        <w:rPr>
          <w:rFonts w:asciiTheme="majorBidi" w:hAnsiTheme="majorBidi" w:cstheme="majorBidi"/>
          <w:sz w:val="24"/>
          <w:szCs w:val="24"/>
        </w:rPr>
        <w:fldChar w:fldCharType="end"/>
      </w:r>
    </w:p>
    <w:p xmlns:wp14="http://schemas.microsoft.com/office/word/2010/wordml" w:rsidR="0021161D" w:rsidP="00265BE4" w:rsidRDefault="0021161D" w14:paraId="4101652C" wp14:textId="77777777">
      <w:pPr>
        <w:spacing w:after="0" w:line="240" w:lineRule="auto"/>
        <w:rPr>
          <w:sz w:val="24"/>
          <w:szCs w:val="24"/>
        </w:rPr>
      </w:pPr>
    </w:p>
    <w:p xmlns:wp14="http://schemas.microsoft.com/office/word/2010/wordml" w:rsidRPr="00BC6C60" w:rsidR="00F651FC" w:rsidP="00F651FC" w:rsidRDefault="00F651FC" w14:paraId="20F18B78"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Session 1</w:t>
      </w:r>
      <w:r>
        <w:rPr>
          <w:rFonts w:asciiTheme="majorBidi" w:hAnsiTheme="majorBidi" w:cstheme="majorBidi"/>
          <w:sz w:val="24"/>
          <w:szCs w:val="24"/>
          <w:u w:val="single"/>
        </w:rPr>
        <w:t>4</w:t>
      </w:r>
      <w:r w:rsidRPr="00BC6C60">
        <w:rPr>
          <w:rFonts w:asciiTheme="majorBidi" w:hAnsiTheme="majorBidi" w:cstheme="majorBidi"/>
          <w:sz w:val="24"/>
          <w:szCs w:val="24"/>
          <w:u w:val="single"/>
        </w:rPr>
        <w:t>: Derrida</w:t>
      </w:r>
      <w:r>
        <w:rPr>
          <w:rFonts w:asciiTheme="majorBidi" w:hAnsiTheme="majorBidi" w:cstheme="majorBidi"/>
          <w:sz w:val="24"/>
          <w:szCs w:val="24"/>
          <w:u w:val="single"/>
        </w:rPr>
        <w:t xml:space="preserve"> </w:t>
      </w:r>
      <w:r>
        <w:rPr>
          <w:rFonts w:asciiTheme="majorBidi" w:hAnsiTheme="majorBidi" w:cstheme="majorBidi"/>
          <w:sz w:val="24"/>
          <w:szCs w:val="24"/>
          <w:u w:val="single"/>
        </w:rPr>
        <w:t>(continued)</w:t>
      </w:r>
    </w:p>
    <w:p xmlns:wp14="http://schemas.microsoft.com/office/word/2010/wordml" w:rsidRPr="00BC6C60" w:rsidR="00F651FC" w:rsidP="00F651FC" w:rsidRDefault="00F651FC" w14:paraId="0C3D71BE"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{"citationID":"dWeQpsUz","properties":{"formattedCitation":"Jacques Derrida, {\\i{}The Gift of Death}, Paperback ed, trans. David Wills, Religion and Postmodernism (University of Chicago Press, 1996), 53\\uc0\\u8211{}81.","plainCitation":"Jacques Derrida, The Gift of Death, Paperback ed, trans. David Wills, Religion and Postmodernism (University of Chicago Press, 1996), 53–81.","noteIndex":1},"citationItems":[{"id":198,"uris":["http://zotero.org/users/17607884/items/CQ6IE4CQ"],"itemData":{"id":198,"type":"book","collection-title":"Religion and postmodernism","edition":"Paperback ed","event-place":"Chicago, Ill.","ISBN":"978-0-226-14305-7","language":"eng","number-of-pages":"115","publisher":"University of Chicago Press","publisher-place":"Chicago, Ill.","source":"K10plus ISBN","title":"The gift of death","author":[{"family":"Derrida","given":"Jacques"}],"translator":[{"family":"Wills","given":"David"}],"issued":{"date-parts":[["1996"]]}},"locator":"53-81","label":"page"}],"schema":"https://github.com/citation-style-language/schema/raw/master/csl-citation.json"}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Jacques Derrida, </w:t>
      </w:r>
      <w:proofErr w:type="gramStart"/>
      <w:r w:rsidRPr="00BC6C60">
        <w:rPr>
          <w:rFonts w:asciiTheme="majorBidi" w:hAnsiTheme="majorBidi" w:cstheme="majorBidi"/>
          <w:i/>
          <w:iCs/>
          <w:sz w:val="24"/>
          <w:szCs w:val="24"/>
        </w:rPr>
        <w:t>The</w:t>
      </w:r>
      <w:proofErr w:type="gramEnd"/>
      <w:r w:rsidRPr="00BC6C60">
        <w:rPr>
          <w:rFonts w:asciiTheme="majorBidi" w:hAnsiTheme="majorBidi" w:cstheme="majorBidi"/>
          <w:i/>
          <w:iCs/>
          <w:sz w:val="24"/>
          <w:szCs w:val="24"/>
        </w:rPr>
        <w:t xml:space="preserve"> Gift of Death</w:t>
      </w:r>
      <w:r>
        <w:rPr>
          <w:rFonts w:asciiTheme="majorBidi" w:hAnsiTheme="majorBidi" w:cstheme="majorBidi"/>
          <w:sz w:val="24"/>
          <w:szCs w:val="24"/>
        </w:rPr>
        <w:t>,</w:t>
      </w:r>
      <w:r w:rsidRPr="00BC6C60">
        <w:rPr>
          <w:rFonts w:asciiTheme="majorBidi" w:hAnsiTheme="majorBidi" w:cstheme="majorBidi"/>
          <w:sz w:val="24"/>
          <w:szCs w:val="24"/>
        </w:rPr>
        <w:t xml:space="preserve"> </w:t>
      </w:r>
      <w:r>
        <w:rPr>
          <w:rFonts w:asciiTheme="majorBidi" w:hAnsiTheme="majorBidi" w:cstheme="majorBidi"/>
          <w:sz w:val="24"/>
          <w:szCs w:val="24"/>
        </w:rPr>
        <w:t>82</w:t>
      </w:r>
      <w:r w:rsidRPr="00BC6C60">
        <w:rPr>
          <w:rFonts w:asciiTheme="majorBidi" w:hAnsiTheme="majorBidi" w:cstheme="majorBidi"/>
          <w:sz w:val="24"/>
          <w:szCs w:val="24"/>
        </w:rPr>
        <w:t>–</w:t>
      </w:r>
      <w:r>
        <w:rPr>
          <w:rFonts w:asciiTheme="majorBidi" w:hAnsiTheme="majorBidi" w:cstheme="majorBidi"/>
          <w:sz w:val="24"/>
          <w:szCs w:val="24"/>
        </w:rPr>
        <w:t>121</w:t>
      </w:r>
      <w:r w:rsidRPr="00BC6C60">
        <w:rPr>
          <w:rFonts w:asciiTheme="majorBidi" w:hAnsiTheme="majorBidi" w:cstheme="majorBidi"/>
          <w:sz w:val="24"/>
          <w:szCs w:val="24"/>
        </w:rPr>
        <w:t>.</w:t>
      </w:r>
      <w:r w:rsidRPr="00BC6C60">
        <w:rPr>
          <w:rFonts w:asciiTheme="majorBidi" w:hAnsiTheme="majorBidi" w:cstheme="majorBidi"/>
          <w:sz w:val="24"/>
          <w:szCs w:val="24"/>
        </w:rPr>
        <w:fldChar w:fldCharType="end"/>
      </w:r>
      <w:bookmarkStart w:name="_GoBack" w:id="0"/>
      <w:bookmarkEnd w:id="0"/>
    </w:p>
    <w:p xmlns:wp14="http://schemas.microsoft.com/office/word/2010/wordml" w:rsidR="00F651FC" w:rsidP="00265BE4" w:rsidRDefault="00F651FC" w14:paraId="4B99056E" wp14:textId="77777777">
      <w:pPr>
        <w:spacing w:after="0" w:line="240" w:lineRule="auto"/>
        <w:rPr>
          <w:sz w:val="24"/>
          <w:szCs w:val="24"/>
        </w:rPr>
      </w:pPr>
    </w:p>
    <w:p xmlns:wp14="http://schemas.microsoft.com/office/word/2010/wordml" w:rsidRPr="00BC6C60" w:rsidR="00F651FC" w:rsidP="00F651FC" w:rsidRDefault="00F651FC" w14:paraId="63C7BB22" wp14:textId="77777777">
      <w:pPr>
        <w:spacing w:after="0" w:line="240" w:lineRule="auto"/>
        <w:rPr>
          <w:rFonts w:asciiTheme="majorBidi" w:hAnsiTheme="majorBidi" w:cstheme="majorBidi"/>
          <w:sz w:val="24"/>
          <w:szCs w:val="24"/>
          <w:u w:val="single"/>
        </w:rPr>
      </w:pPr>
      <w:r w:rsidRPr="00BC6C60">
        <w:rPr>
          <w:rFonts w:asciiTheme="majorBidi" w:hAnsiTheme="majorBidi" w:cstheme="majorBidi"/>
          <w:sz w:val="24"/>
          <w:szCs w:val="24"/>
          <w:u w:val="single"/>
        </w:rPr>
        <w:t>Session 1</w:t>
      </w:r>
      <w:r>
        <w:rPr>
          <w:rFonts w:asciiTheme="majorBidi" w:hAnsiTheme="majorBidi" w:cstheme="majorBidi"/>
          <w:sz w:val="24"/>
          <w:szCs w:val="24"/>
          <w:u w:val="single"/>
        </w:rPr>
        <w:t>5</w:t>
      </w:r>
      <w:r w:rsidRPr="00BC6C60">
        <w:rPr>
          <w:rFonts w:asciiTheme="majorBidi" w:hAnsiTheme="majorBidi" w:cstheme="majorBidi"/>
          <w:sz w:val="24"/>
          <w:szCs w:val="24"/>
          <w:u w:val="single"/>
        </w:rPr>
        <w:t xml:space="preserve">: </w:t>
      </w:r>
      <w:r>
        <w:rPr>
          <w:rFonts w:asciiTheme="majorBidi" w:hAnsiTheme="majorBidi" w:cstheme="majorBidi"/>
          <w:sz w:val="24"/>
          <w:szCs w:val="24"/>
          <w:u w:val="single"/>
        </w:rPr>
        <w:t>Summary and Conclusions</w:t>
      </w:r>
    </w:p>
    <w:p xmlns:wp14="http://schemas.microsoft.com/office/word/2010/wordml" w:rsidR="00F651FC" w:rsidP="00E040E8" w:rsidRDefault="00F651FC" w14:paraId="1299C43A" wp14:textId="77777777">
      <w:pPr>
        <w:autoSpaceDE w:val="0"/>
        <w:autoSpaceDN w:val="0"/>
        <w:adjustRightInd w:val="0"/>
        <w:spacing w:before="48" w:beforeLines="20" w:after="48" w:afterLines="20" w:line="240" w:lineRule="auto"/>
        <w:rPr>
          <w:rFonts w:asciiTheme="majorBidi" w:hAnsiTheme="majorBidi" w:cstheme="majorBidi"/>
          <w:sz w:val="24"/>
          <w:szCs w:val="24"/>
          <w:u w:val="single"/>
        </w:rPr>
      </w:pPr>
    </w:p>
    <w:p xmlns:wp14="http://schemas.microsoft.com/office/word/2010/wordml" w:rsidRPr="00BC6C60" w:rsidR="00E040E8" w:rsidP="00E040E8" w:rsidRDefault="00E040E8" w14:paraId="48B7D1BD" wp14:textId="77777777">
      <w:pPr>
        <w:autoSpaceDE w:val="0"/>
        <w:autoSpaceDN w:val="0"/>
        <w:adjustRightInd w:val="0"/>
        <w:spacing w:before="48" w:beforeLines="20" w:after="48" w:afterLines="20" w:line="240" w:lineRule="auto"/>
        <w:rPr>
          <w:rFonts w:asciiTheme="majorBidi" w:hAnsiTheme="majorBidi" w:cstheme="majorBidi"/>
          <w:sz w:val="24"/>
          <w:szCs w:val="24"/>
          <w:u w:val="single"/>
        </w:rPr>
      </w:pPr>
      <w:r w:rsidRPr="00BC6C60">
        <w:rPr>
          <w:rFonts w:hint="cs" w:asciiTheme="majorBidi" w:hAnsiTheme="majorBidi" w:cstheme="majorBidi"/>
          <w:sz w:val="24"/>
          <w:szCs w:val="24"/>
          <w:u w:val="single"/>
        </w:rPr>
        <w:t>P</w:t>
      </w:r>
      <w:r w:rsidRPr="00BC6C60">
        <w:rPr>
          <w:rFonts w:asciiTheme="majorBidi" w:hAnsiTheme="majorBidi" w:cstheme="majorBidi"/>
          <w:sz w:val="24"/>
          <w:szCs w:val="24"/>
          <w:u w:val="single"/>
        </w:rPr>
        <w:t>rimary Sources</w:t>
      </w:r>
    </w:p>
    <w:p xmlns:wp14="http://schemas.microsoft.com/office/word/2010/wordml" w:rsidRPr="00BC6C60" w:rsidR="00E040E8" w:rsidP="00BC6C60" w:rsidRDefault="00E040E8" w14:paraId="39614953"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highlight w:val="yellow"/>
        </w:rPr>
        <w:fldChar w:fldCharType="begin"/>
      </w:r>
      <w:r w:rsidRPr="00BC6C60">
        <w:rPr>
          <w:rFonts w:asciiTheme="majorBidi" w:hAnsiTheme="majorBidi" w:cstheme="majorBidi"/>
          <w:sz w:val="24"/>
          <w:szCs w:val="24"/>
          <w:highlight w:val="yellow"/>
        </w:rPr>
        <w:instrText xml:space="preserve"> ADDIN ZOTERO_BIBL {"uncited":[],"omitted":[["http://zotero.org/users/17607884/items/N9CCS8E8"],["http://zotero.org/users/17607884/items/JQHFWLNJ"],["http://zotero.org/users/17607884/items/NRWU54BZ"],["http://zotero.org/users/17607884/items/7LPBY7WZ"],["http://zotero.org/users/17607884/items/6XILNGWI"],["http://zotero.org/users/17607884/items/67Z6LWNX"],["http://zotero.org/users/17607884/items/ZPIBXL5T"],["http://zotero.org/users/17607884/items/VRRC5SCR"]],"custom":[]} CSL_BIBLIOGRAPHY </w:instrText>
      </w:r>
      <w:r w:rsidRPr="00BC6C60">
        <w:rPr>
          <w:rFonts w:asciiTheme="majorBidi" w:hAnsiTheme="majorBidi" w:cstheme="majorBidi"/>
          <w:sz w:val="24"/>
          <w:szCs w:val="24"/>
          <w:highlight w:val="yellow"/>
        </w:rPr>
        <w:fldChar w:fldCharType="separate"/>
      </w:r>
      <w:r w:rsidRPr="00BC6C60">
        <w:rPr>
          <w:rFonts w:asciiTheme="majorBidi" w:hAnsiTheme="majorBidi" w:cstheme="majorBidi"/>
          <w:sz w:val="24"/>
          <w:szCs w:val="24"/>
        </w:rPr>
        <w:t xml:space="preserve">Derrida, Jacques, </w:t>
      </w:r>
      <w:r w:rsidRPr="00BC6C60">
        <w:rPr>
          <w:rFonts w:asciiTheme="majorBidi" w:hAnsiTheme="majorBidi" w:cstheme="majorBidi"/>
          <w:i/>
          <w:iCs/>
          <w:sz w:val="24"/>
          <w:szCs w:val="24"/>
        </w:rPr>
        <w:t>The Gift of Death</w:t>
      </w:r>
      <w:r w:rsidRPr="00BC6C60">
        <w:rPr>
          <w:rFonts w:asciiTheme="majorBidi" w:hAnsiTheme="majorBidi" w:cstheme="majorBidi"/>
          <w:sz w:val="24"/>
          <w:szCs w:val="24"/>
        </w:rPr>
        <w:t>, trans. by David Wills, University of Chicago Press, 1996.</w:t>
      </w:r>
    </w:p>
    <w:p xmlns:wp14="http://schemas.microsoft.com/office/word/2010/wordml" w:rsidRPr="00BC6C60" w:rsidR="00E040E8" w:rsidP="00E040E8" w:rsidRDefault="00E040E8" w14:paraId="78654760"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 xml:space="preserve">Kant, Immanuel, </w:t>
      </w:r>
      <w:r w:rsidRPr="00BC6C60">
        <w:rPr>
          <w:rFonts w:asciiTheme="majorBidi" w:hAnsiTheme="majorBidi" w:cstheme="majorBidi"/>
          <w:i/>
          <w:iCs/>
          <w:sz w:val="24"/>
          <w:szCs w:val="24"/>
        </w:rPr>
        <w:t>Religion within the Boundaries of Mere Reason and Other Writings</w:t>
      </w:r>
      <w:r w:rsidRPr="00BC6C60">
        <w:rPr>
          <w:rFonts w:asciiTheme="majorBidi" w:hAnsiTheme="majorBidi" w:cstheme="majorBidi"/>
          <w:sz w:val="24"/>
          <w:szCs w:val="24"/>
        </w:rPr>
        <w:t>, trans. by Allen Wood and George di Giovanni, Cambridge University Press, 1998.</w:t>
      </w:r>
    </w:p>
    <w:p xmlns:wp14="http://schemas.microsoft.com/office/word/2010/wordml" w:rsidRPr="00BC6C60" w:rsidR="00E040E8" w:rsidP="00E040E8" w:rsidRDefault="00E040E8" w14:paraId="7CE095D4"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 xml:space="preserve">Kant, Immanuel, “The Conflict of the Faculties,” in </w:t>
      </w:r>
      <w:r w:rsidRPr="00BC6C60">
        <w:rPr>
          <w:rFonts w:asciiTheme="majorBidi" w:hAnsiTheme="majorBidi" w:cstheme="majorBidi"/>
          <w:i/>
          <w:iCs/>
          <w:sz w:val="24"/>
          <w:szCs w:val="24"/>
        </w:rPr>
        <w:t>Religion and Rational Theology</w:t>
      </w:r>
      <w:r w:rsidRPr="00BC6C60">
        <w:rPr>
          <w:rFonts w:asciiTheme="majorBidi" w:hAnsiTheme="majorBidi" w:cstheme="majorBidi"/>
          <w:sz w:val="24"/>
          <w:szCs w:val="24"/>
        </w:rPr>
        <w:t>, edited by Allen W. Wood and George di Giovanni, trans. by Mary J. Gregor, Cambridge University Press, 1996.</w:t>
      </w:r>
    </w:p>
    <w:p xmlns:wp14="http://schemas.microsoft.com/office/word/2010/wordml" w:rsidR="00BC6C60" w:rsidP="00BC6C60" w:rsidRDefault="00E040E8" w14:paraId="245B4883"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 xml:space="preserve">Kierkegaard, Søren, </w:t>
      </w:r>
      <w:r w:rsidRPr="00BC6C60">
        <w:rPr>
          <w:rFonts w:asciiTheme="majorBidi" w:hAnsiTheme="majorBidi" w:cstheme="majorBidi"/>
          <w:i/>
          <w:iCs/>
          <w:sz w:val="24"/>
          <w:szCs w:val="24"/>
        </w:rPr>
        <w:t>Fear and Trembling, Repetition,</w:t>
      </w:r>
      <w:r w:rsidRPr="00BC6C60">
        <w:rPr>
          <w:rFonts w:asciiTheme="majorBidi" w:hAnsiTheme="majorBidi" w:cstheme="majorBidi"/>
          <w:sz w:val="24"/>
          <w:szCs w:val="24"/>
        </w:rPr>
        <w:t xml:space="preserve"> trans. by Howard Vincent Hong and Edna Hong, Kierkegaard’s Writings, Vol. VI, Princeton University Press, 2013.</w:t>
      </w:r>
    </w:p>
    <w:p xmlns:wp14="http://schemas.microsoft.com/office/word/2010/wordml" w:rsidR="00BC6C60" w:rsidP="00BC6C60" w:rsidRDefault="00BC6C60" w14:paraId="367A134C" wp14:textId="77777777">
      <w:pPr>
        <w:pStyle w:val="Literaturverzeichnis"/>
        <w:spacing w:before="48" w:beforeLines="20" w:after="48" w:afterLines="20"/>
        <w:rPr>
          <w:rFonts w:asciiTheme="majorBidi" w:hAnsiTheme="majorBidi" w:cstheme="majorBidi"/>
          <w:sz w:val="24"/>
          <w:szCs w:val="24"/>
        </w:rPr>
      </w:pPr>
      <w:proofErr w:type="spellStart"/>
      <w:r w:rsidRPr="00BC6C60">
        <w:rPr>
          <w:rFonts w:asciiTheme="majorBidi" w:hAnsiTheme="majorBidi" w:cstheme="majorBidi"/>
          <w:sz w:val="24"/>
          <w:szCs w:val="24"/>
        </w:rPr>
        <w:t>Lévinas</w:t>
      </w:r>
      <w:proofErr w:type="spellEnd"/>
      <w:r w:rsidRPr="00BC6C60">
        <w:rPr>
          <w:rFonts w:asciiTheme="majorBidi" w:hAnsiTheme="majorBidi" w:cstheme="majorBidi"/>
          <w:sz w:val="24"/>
          <w:szCs w:val="24"/>
        </w:rPr>
        <w:t>, Emmanuel,</w:t>
      </w:r>
      <w:r>
        <w:rPr>
          <w:rFonts w:asciiTheme="majorBidi" w:hAnsiTheme="majorBidi" w:cstheme="majorBidi"/>
          <w:sz w:val="24"/>
          <w:szCs w:val="24"/>
        </w:rPr>
        <w:t xml:space="preserve"> </w:t>
      </w:r>
      <w:r w:rsidRPr="00BC6C60">
        <w:rPr>
          <w:rFonts w:asciiTheme="majorBidi" w:hAnsiTheme="majorBidi" w:cstheme="majorBidi"/>
          <w:i/>
          <w:iCs/>
          <w:sz w:val="24"/>
          <w:szCs w:val="24"/>
        </w:rPr>
        <w:t>Totality and Infinity: An Essay on Exteriority</w:t>
      </w:r>
      <w:r w:rsidRPr="00BC6C60">
        <w:rPr>
          <w:rFonts w:asciiTheme="majorBidi" w:hAnsiTheme="majorBidi" w:cstheme="majorBidi"/>
          <w:sz w:val="24"/>
          <w:szCs w:val="24"/>
        </w:rPr>
        <w:t xml:space="preserve">, 23rd printing, trans. Alphonso </w:t>
      </w:r>
      <w:proofErr w:type="spellStart"/>
      <w:r w:rsidRPr="00BC6C60">
        <w:rPr>
          <w:rFonts w:asciiTheme="majorBidi" w:hAnsiTheme="majorBidi" w:cstheme="majorBidi"/>
          <w:sz w:val="24"/>
          <w:szCs w:val="24"/>
        </w:rPr>
        <w:t>Lingis</w:t>
      </w:r>
      <w:proofErr w:type="spellEnd"/>
      <w:r w:rsidRPr="00BC6C60">
        <w:rPr>
          <w:rFonts w:asciiTheme="majorBidi" w:hAnsiTheme="majorBidi" w:cstheme="majorBidi"/>
          <w:sz w:val="24"/>
          <w:szCs w:val="24"/>
        </w:rPr>
        <w:t xml:space="preserve"> (Duquesne University Press, 2011)</w:t>
      </w:r>
    </w:p>
    <w:p xmlns:wp14="http://schemas.microsoft.com/office/word/2010/wordml" w:rsidRPr="00BC6C60" w:rsidR="00E040E8" w:rsidP="00BC6C60" w:rsidRDefault="00E040E8" w14:paraId="078C866F" wp14:textId="77777777">
      <w:pPr>
        <w:pStyle w:val="Literaturverzeichnis"/>
        <w:spacing w:before="48" w:beforeLines="20" w:after="48" w:afterLines="20"/>
        <w:rPr>
          <w:rFonts w:asciiTheme="majorBidi" w:hAnsiTheme="majorBidi" w:cstheme="majorBidi"/>
          <w:sz w:val="24"/>
          <w:szCs w:val="24"/>
        </w:rPr>
      </w:pPr>
      <w:proofErr w:type="spellStart"/>
      <w:r w:rsidRPr="00BC6C60">
        <w:rPr>
          <w:rFonts w:asciiTheme="majorBidi" w:hAnsiTheme="majorBidi" w:cstheme="majorBidi"/>
          <w:sz w:val="24"/>
          <w:szCs w:val="24"/>
        </w:rPr>
        <w:t>Lévinas</w:t>
      </w:r>
      <w:proofErr w:type="spellEnd"/>
      <w:r w:rsidRPr="00BC6C60">
        <w:rPr>
          <w:rFonts w:asciiTheme="majorBidi" w:hAnsiTheme="majorBidi" w:cstheme="majorBidi"/>
          <w:sz w:val="24"/>
          <w:szCs w:val="24"/>
        </w:rPr>
        <w:t xml:space="preserve">, Emmanuel, “Kierkegaard: </w:t>
      </w:r>
      <w:r w:rsidRPr="00BC6C60">
        <w:rPr>
          <w:rFonts w:asciiTheme="majorBidi" w:hAnsiTheme="majorBidi" w:cstheme="majorBidi"/>
          <w:iCs/>
          <w:sz w:val="24"/>
          <w:szCs w:val="24"/>
        </w:rPr>
        <w:t>Existence and Ethics</w:t>
      </w:r>
      <w:r w:rsidRPr="00BC6C60">
        <w:rPr>
          <w:rFonts w:asciiTheme="majorBidi" w:hAnsiTheme="majorBidi" w:cstheme="majorBidi"/>
          <w:sz w:val="24"/>
          <w:szCs w:val="24"/>
        </w:rPr>
        <w:t>” and “</w:t>
      </w:r>
      <w:r w:rsidRPr="00BC6C60">
        <w:rPr>
          <w:rStyle w:val="highlight"/>
          <w:rFonts w:asciiTheme="majorBidi" w:hAnsiTheme="majorBidi" w:cstheme="majorBidi"/>
          <w:sz w:val="24"/>
          <w:szCs w:val="24"/>
        </w:rPr>
        <w:t xml:space="preserve">A Propos Kierkegaard </w:t>
      </w:r>
      <w:proofErr w:type="spellStart"/>
      <w:r w:rsidRPr="00BC6C60">
        <w:rPr>
          <w:rStyle w:val="highlight"/>
          <w:rFonts w:asciiTheme="majorBidi" w:hAnsiTheme="majorBidi" w:cstheme="majorBidi"/>
          <w:sz w:val="24"/>
          <w:szCs w:val="24"/>
        </w:rPr>
        <w:t>Vivan</w:t>
      </w:r>
      <w:proofErr w:type="spellEnd"/>
      <w:r w:rsidRPr="00BC6C60">
        <w:rPr>
          <w:rStyle w:val="highlight"/>
          <w:rFonts w:asciiTheme="majorBidi" w:hAnsiTheme="majorBidi" w:cstheme="majorBidi"/>
          <w:sz w:val="24"/>
          <w:szCs w:val="24"/>
        </w:rPr>
        <w:t xml:space="preserve">”, in </w:t>
      </w:r>
      <w:r w:rsidRPr="00BC6C60">
        <w:rPr>
          <w:rFonts w:asciiTheme="majorBidi" w:hAnsiTheme="majorBidi" w:cstheme="majorBidi"/>
          <w:i/>
          <w:iCs/>
          <w:sz w:val="24"/>
          <w:szCs w:val="24"/>
        </w:rPr>
        <w:t>Proper Names</w:t>
      </w:r>
      <w:r w:rsidRPr="00BC6C60">
        <w:rPr>
          <w:rFonts w:asciiTheme="majorBidi" w:hAnsiTheme="majorBidi" w:cstheme="majorBidi"/>
          <w:sz w:val="24"/>
          <w:szCs w:val="24"/>
        </w:rPr>
        <w:t xml:space="preserve">, translated by Michael Smith (Stanford, CA: Stanford University Press, 1997, </w:t>
      </w:r>
      <w:r w:rsidRPr="00BC6C60">
        <w:rPr>
          <w:rStyle w:val="highlight"/>
          <w:rFonts w:asciiTheme="majorBidi" w:hAnsiTheme="majorBidi" w:cstheme="majorBidi"/>
          <w:sz w:val="24"/>
          <w:szCs w:val="24"/>
        </w:rPr>
        <w:t>66-79.</w:t>
      </w:r>
    </w:p>
    <w:p xmlns:wp14="http://schemas.microsoft.com/office/word/2010/wordml" w:rsidRPr="00BC6C60" w:rsidR="00E040E8" w:rsidP="00E040E8" w:rsidRDefault="00E040E8" w14:paraId="0A41983F" wp14:textId="77777777">
      <w:pPr>
        <w:spacing w:after="0" w:line="240" w:lineRule="auto"/>
        <w:rPr>
          <w:rFonts w:asciiTheme="majorBidi" w:hAnsiTheme="majorBidi" w:cstheme="majorBidi"/>
          <w:sz w:val="24"/>
          <w:szCs w:val="24"/>
        </w:rPr>
      </w:pPr>
      <w:r w:rsidRPr="00BC6C60">
        <w:rPr>
          <w:rFonts w:asciiTheme="majorBidi" w:hAnsiTheme="majorBidi" w:cstheme="majorBidi"/>
          <w:sz w:val="24"/>
          <w:szCs w:val="24"/>
        </w:rPr>
        <w:t xml:space="preserve">Maimonides, </w:t>
      </w: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{"citationID":"nD6xoILa","properties":{"formattedCitation":"Moses Maimonides, {\\i{}The Guide of the Perplexed}, trans. Shelomoh Pines, vol. 2 (University of Chicago Press, 2010); S\\uc0\\u248{}ren Kierkegaard, {\\i{}Fear and Trembling, Repetition.}, trans. Howard Vincent Hong and Edna Hong, Kierkegaard\\uc0\\u8217{}s Writings, Vol. VI (Princeton University Press, 2013), https://doi.org/10.1515/9781400846955.","plainCitation":"Moses Maimonides, The Guide of the Perplexed, trans. Shelomoh Pines, vol. 2 (University of Chicago Press, 2010); Søren Kierkegaard, Fear and Trembling, Repetition., trans. Howard Vincent Hong and Edna Hong, Kierkegaard’s Writings, Vol. VI (Princeton University Press, 2013), https://doi.org/10.1515/9781400846955.","dontUpdate":true,"noteIndex":0},"citationItems":[{"id":193,"uris":["http://zotero.org/users/17607884/items/3G7UX848"],"itemData":{"id":193,"type":"book","abstract":"This monument of rabbinical exegesis written at the end of the twelfth century has exerted an immense and continuing influence upon Jewish thought. Its aim is to liberate people from the tormenting perplexities arising from their understanding of the Bible according only to its literal meaning. This edition contains extensive introductions by Shlomo Pines and Leo Strauss, a leading authority on Maimonides","event-place":"Chicago","ISBN":"978-0-226-50230-4","language":"eng","number-of-pages":"367","publisher":"University of Chicago Press","publisher-place":"Chicago","source":"K10plus ISBN","title":"The Guide of the Perplexed","title-short":"The Guide of the Perplexed","volume":"2","author":[{"family":"Maimonides","given":"Moses"}],"translator":[{"family":"Pines","given":"Shelomoh"}],"issued":{"date-parts":[["2010"]]}}},{"id":196,"uris":["http://zotero.org/users/17607884/items/XQ9JMJNF"],"itemData":{"id":196,"type":"book","collection-title":"Kierkegaard's writings, vol. VI","event-place":"Princeton, New Jersey","ISBN":"978-0-691-02026-6","language":"eng","note":"DOI: 10.1515/9781400846955","number-of-pages":"1","publisher":"Princeton University Press","publisher-place":"Princeton, New Jersey","source":"K10plus ISBN","title":"Fear and Trembling, Repetition.","title-short":"Kierkegaard's writings, VI","author":[{"family":"Kierkegaard","given":"Søren"}],"translator":[{"family":"Hong","given":"Howard Vincent"},{"family":"Hong","given":"Edna"}],"issued":{"date-parts":[["2013"]]}}}],"schema":"https://github.com/citation-style-language/schema/raw/master/csl-citation.json"}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Moses, </w:t>
      </w:r>
      <w:r w:rsidRPr="00BC6C60">
        <w:rPr>
          <w:rFonts w:asciiTheme="majorBidi" w:hAnsiTheme="majorBidi" w:cstheme="majorBidi"/>
          <w:i/>
          <w:iCs/>
          <w:sz w:val="24"/>
          <w:szCs w:val="24"/>
        </w:rPr>
        <w:t>The Guide to the Perplexed</w:t>
      </w:r>
      <w:r w:rsidRPr="00BC6C60">
        <w:rPr>
          <w:rFonts w:asciiTheme="majorBidi" w:hAnsiTheme="majorBidi" w:cstheme="majorBidi"/>
          <w:sz w:val="24"/>
          <w:szCs w:val="24"/>
        </w:rPr>
        <w:t xml:space="preserve">. </w:t>
      </w:r>
      <w:r w:rsidRPr="00BC6C60">
        <w:rPr>
          <w:rFonts w:asciiTheme="majorBidi" w:hAnsiTheme="majorBidi" w:cstheme="majorBidi"/>
          <w:i/>
          <w:iCs/>
          <w:sz w:val="24"/>
          <w:szCs w:val="24"/>
        </w:rPr>
        <w:t>A New Translation</w:t>
      </w:r>
      <w:r w:rsidRPr="00BC6C60">
        <w:rPr>
          <w:rFonts w:asciiTheme="majorBidi" w:hAnsiTheme="majorBidi" w:cstheme="majorBidi"/>
          <w:sz w:val="24"/>
          <w:szCs w:val="24"/>
        </w:rPr>
        <w:t xml:space="preserve">, trans. Lenn E. Goodman, </w:t>
      </w:r>
    </w:p>
    <w:p xmlns:wp14="http://schemas.microsoft.com/office/word/2010/wordml" w:rsidR="001E4001" w:rsidP="001E4001" w:rsidRDefault="00E040E8" w14:paraId="61440FB5" wp14:textId="77777777">
      <w:pPr>
        <w:spacing w:after="0" w:line="240" w:lineRule="auto"/>
        <w:ind w:firstLine="720"/>
        <w:rPr>
          <w:rFonts w:asciiTheme="majorBidi" w:hAnsiTheme="majorBidi" w:cstheme="majorBidi"/>
          <w:sz w:val="24"/>
          <w:szCs w:val="24"/>
        </w:rPr>
      </w:pPr>
      <w:r w:rsidRPr="00BC6C60">
        <w:rPr>
          <w:rFonts w:asciiTheme="majorBidi" w:hAnsiTheme="majorBidi" w:cstheme="majorBidi"/>
          <w:sz w:val="24"/>
          <w:szCs w:val="24"/>
        </w:rPr>
        <w:t>Phillip I. Lieberman (Stanford University Press, 2024).</w:t>
      </w:r>
    </w:p>
    <w:p xmlns:wp14="http://schemas.microsoft.com/office/word/2010/wordml" w:rsidR="001E4001" w:rsidP="001E4001" w:rsidRDefault="00E040E8" w14:paraId="7FB44A15" wp14:textId="77777777">
      <w:pPr>
        <w:spacing w:after="0" w:line="240" w:lineRule="auto"/>
        <w:rPr>
          <w:rFonts w:ascii="Times New Roman" w:hAnsi="Times New Roman" w:eastAsia="Times New Roman" w:cs="Times New Roman"/>
          <w:sz w:val="24"/>
          <w:szCs w:val="24"/>
        </w:rPr>
      </w:pPr>
      <w:r w:rsidRPr="00BC6C60">
        <w:rPr>
          <w:rFonts w:eastAsia="Times New Roman" w:asciiTheme="majorBidi" w:hAnsiTheme="majorBidi" w:cstheme="majorBidi"/>
          <w:sz w:val="24"/>
          <w:szCs w:val="24"/>
        </w:rPr>
        <w:t xml:space="preserve">Maimonides, </w:t>
      </w:r>
      <w:r w:rsidRPr="00BC6C60">
        <w:rPr>
          <w:rFonts w:asciiTheme="majorBidi" w:hAnsiTheme="majorBidi" w:cstheme="majorBidi"/>
          <w:sz w:val="24"/>
          <w:szCs w:val="24"/>
        </w:rPr>
        <w:t>Moses,</w:t>
      </w:r>
      <w:r w:rsidRPr="00BC6C60">
        <w:rPr>
          <w:rFonts w:eastAsia="Times New Roman" w:asciiTheme="majorBidi" w:hAnsiTheme="majorBidi" w:cstheme="majorBidi"/>
          <w:sz w:val="24"/>
          <w:szCs w:val="24"/>
        </w:rPr>
        <w:t xml:space="preserve"> </w:t>
      </w:r>
      <w:r w:rsidR="001E4001">
        <w:rPr>
          <w:rFonts w:eastAsia="Times New Roman" w:asciiTheme="majorBidi" w:hAnsiTheme="majorBidi" w:cstheme="majorBidi"/>
          <w:sz w:val="24"/>
          <w:szCs w:val="24"/>
        </w:rPr>
        <w:t>"</w:t>
      </w:r>
      <w:r w:rsidRPr="00BC6C60">
        <w:rPr>
          <w:rFonts w:eastAsia="Times New Roman" w:asciiTheme="majorBidi" w:hAnsiTheme="majorBidi" w:cstheme="majorBidi"/>
          <w:sz w:val="24"/>
          <w:szCs w:val="24"/>
        </w:rPr>
        <w:t xml:space="preserve">Sefer </w:t>
      </w:r>
      <w:r w:rsidRPr="00BC6C60">
        <w:rPr>
          <w:rFonts w:hint="cs" w:eastAsia="Times New Roman" w:asciiTheme="majorBidi" w:hAnsiTheme="majorBidi" w:cstheme="majorBidi"/>
          <w:sz w:val="24"/>
          <w:szCs w:val="24"/>
        </w:rPr>
        <w:t>H</w:t>
      </w:r>
      <w:r w:rsidR="001E4001">
        <w:rPr>
          <w:rFonts w:eastAsia="Times New Roman" w:asciiTheme="majorBidi" w:hAnsiTheme="majorBidi" w:cstheme="majorBidi"/>
          <w:sz w:val="24"/>
          <w:szCs w:val="24"/>
        </w:rPr>
        <w:t>a'</w:t>
      </w:r>
      <w:r w:rsidRPr="00BC6C60">
        <w:rPr>
          <w:rFonts w:eastAsia="Times New Roman" w:asciiTheme="majorBidi" w:hAnsiTheme="majorBidi" w:cstheme="majorBidi"/>
          <w:sz w:val="24"/>
          <w:szCs w:val="24"/>
        </w:rPr>
        <w:t>madda</w:t>
      </w:r>
      <w:r w:rsidR="001E4001">
        <w:rPr>
          <w:rFonts w:eastAsia="Times New Roman" w:asciiTheme="majorBidi" w:hAnsiTheme="majorBidi" w:cstheme="majorBidi"/>
          <w:sz w:val="24"/>
          <w:szCs w:val="24"/>
        </w:rPr>
        <w:t>"</w:t>
      </w:r>
      <w:r w:rsidRPr="00BC6C60">
        <w:rPr>
          <w:rFonts w:eastAsia="Times New Roman" w:asciiTheme="majorBidi" w:hAnsiTheme="majorBidi" w:cstheme="majorBidi"/>
          <w:sz w:val="24"/>
          <w:szCs w:val="24"/>
        </w:rPr>
        <w:t xml:space="preserve">, in </w:t>
      </w:r>
      <w:r w:rsidRPr="00BC6C60">
        <w:rPr>
          <w:rFonts w:eastAsia="Times New Roman" w:asciiTheme="majorBidi" w:hAnsiTheme="majorBidi" w:cstheme="majorBidi"/>
          <w:i/>
          <w:iCs/>
          <w:sz w:val="24"/>
          <w:szCs w:val="24"/>
        </w:rPr>
        <w:t>Mishneh Torah</w:t>
      </w:r>
      <w:r w:rsidRPr="00BC6C60">
        <w:rPr>
          <w:rFonts w:eastAsia="Times New Roman" w:asciiTheme="majorBidi" w:hAnsiTheme="majorBidi" w:cstheme="majorBidi"/>
          <w:sz w:val="24"/>
          <w:szCs w:val="24"/>
        </w:rPr>
        <w:t xml:space="preserve">, </w:t>
      </w:r>
      <w:r w:rsidRPr="00BC6C60">
        <w:rPr>
          <w:rFonts w:ascii="Times New Roman" w:hAnsi="Times New Roman" w:eastAsia="Times New Roman" w:cs="Times New Roman"/>
          <w:sz w:val="24"/>
          <w:szCs w:val="24"/>
        </w:rPr>
        <w:t xml:space="preserve">trans. by Eliyahu Touger, Moznaim </w:t>
      </w:r>
    </w:p>
    <w:p xmlns:wp14="http://schemas.microsoft.com/office/word/2010/wordml" w:rsidRPr="00BC6C60" w:rsidR="00E040E8" w:rsidP="001E4001" w:rsidRDefault="00E040E8" w14:paraId="29E45CC9" wp14:textId="77777777">
      <w:pPr>
        <w:spacing w:after="0" w:line="240" w:lineRule="auto"/>
        <w:ind w:left="720"/>
        <w:rPr>
          <w:rFonts w:ascii="Times New Roman" w:hAnsi="Times New Roman" w:eastAsia="Times New Roman" w:cs="Times New Roman"/>
          <w:sz w:val="24"/>
          <w:szCs w:val="24"/>
        </w:rPr>
      </w:pPr>
      <w:r w:rsidRPr="00BC6C60">
        <w:rPr>
          <w:rFonts w:ascii="Times New Roman" w:hAnsi="Times New Roman" w:eastAsia="Times New Roman" w:cs="Times New Roman"/>
          <w:sz w:val="24"/>
          <w:szCs w:val="24"/>
        </w:rPr>
        <w:t>Publishing</w:t>
      </w:r>
      <w:r w:rsidRPr="00BC6C60">
        <w:rPr>
          <w:rFonts w:eastAsia="Times New Roman" w:asciiTheme="majorBidi" w:hAnsiTheme="majorBidi" w:cstheme="majorBidi"/>
          <w:i/>
          <w:iCs/>
          <w:sz w:val="24"/>
          <w:szCs w:val="24"/>
        </w:rPr>
        <w:t xml:space="preserve"> </w:t>
      </w:r>
      <w:r w:rsidRPr="00BC6C60">
        <w:rPr>
          <w:rFonts w:eastAsia="Times New Roman" w:asciiTheme="majorBidi" w:hAnsiTheme="majorBidi" w:cstheme="majorBidi"/>
          <w:sz w:val="24"/>
          <w:szCs w:val="24"/>
        </w:rPr>
        <w:t>(stable URL: www.sefaria.org.il/Mishneh_Torah%2C_Foundations_of_the_Torah.1.1?lang=bi)</w:t>
      </w:r>
    </w:p>
    <w:p xmlns:wp14="http://schemas.microsoft.com/office/word/2010/wordml" w:rsidRPr="00BC6C60" w:rsidR="00E040E8" w:rsidP="00E040E8" w:rsidRDefault="00E040E8" w14:paraId="08FCB3D6"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fldChar w:fldCharType="end"/>
      </w:r>
      <w:proofErr w:type="spellStart"/>
      <w:r w:rsidRPr="00BC6C60">
        <w:rPr>
          <w:rFonts w:asciiTheme="majorBidi" w:hAnsiTheme="majorBidi" w:cstheme="majorBidi"/>
          <w:sz w:val="24"/>
          <w:szCs w:val="24"/>
        </w:rPr>
        <w:t>Neusner</w:t>
      </w:r>
      <w:proofErr w:type="spellEnd"/>
      <w:r w:rsidRPr="00BC6C60">
        <w:rPr>
          <w:rFonts w:asciiTheme="majorBidi" w:hAnsiTheme="majorBidi" w:cstheme="majorBidi"/>
          <w:sz w:val="24"/>
          <w:szCs w:val="24"/>
        </w:rPr>
        <w:t xml:space="preserve">, Jacob (ed.), </w:t>
      </w:r>
      <w:r w:rsidRPr="00BC6C60">
        <w:rPr>
          <w:rFonts w:asciiTheme="majorBidi" w:hAnsiTheme="majorBidi" w:cstheme="majorBidi"/>
          <w:i/>
          <w:iCs/>
          <w:sz w:val="24"/>
          <w:szCs w:val="24"/>
        </w:rPr>
        <w:t>Genesis Rabbah: The Judaic Commentary to the Book of Genesis, A New American Translation, Vol. II</w:t>
      </w:r>
      <w:r w:rsidRPr="00BC6C60">
        <w:rPr>
          <w:rFonts w:asciiTheme="majorBidi" w:hAnsiTheme="majorBidi" w:cstheme="majorBidi"/>
          <w:sz w:val="24"/>
          <w:szCs w:val="24"/>
        </w:rPr>
        <w:t>, trans. by Jacob Neusner, Scholars press, 1985.</w:t>
      </w:r>
    </w:p>
    <w:p xmlns:wp14="http://schemas.microsoft.com/office/word/2010/wordml" w:rsidRPr="00BC6C60" w:rsidR="00E040E8" w:rsidP="00E040E8" w:rsidRDefault="00E040E8" w14:paraId="185C0316"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 xml:space="preserve">Townsend, John T. (trans.), </w:t>
      </w:r>
      <w:r w:rsidRPr="00BC6C60">
        <w:rPr>
          <w:rFonts w:asciiTheme="majorBidi" w:hAnsiTheme="majorBidi" w:cstheme="majorBidi"/>
          <w:i/>
          <w:iCs/>
          <w:sz w:val="24"/>
          <w:szCs w:val="24"/>
        </w:rPr>
        <w:t>Midrash Tanhuma: Translated into English with Indices and Brief Notes</w:t>
      </w:r>
      <w:r w:rsidRPr="00BC6C60">
        <w:rPr>
          <w:rFonts w:asciiTheme="majorBidi" w:hAnsiTheme="majorBidi" w:cstheme="majorBidi"/>
          <w:sz w:val="24"/>
          <w:szCs w:val="24"/>
        </w:rPr>
        <w:t>, Ktav Publishing House, 1989.</w:t>
      </w:r>
    </w:p>
    <w:p xmlns:wp14="http://schemas.microsoft.com/office/word/2010/wordml" w:rsidRPr="00BC6C60" w:rsidR="00E040E8" w:rsidP="00E040E8" w:rsidRDefault="00E040E8" w14:paraId="4DDBEF00" wp14:textId="77777777">
      <w:pPr>
        <w:spacing w:before="48" w:beforeLines="20" w:after="48" w:afterLines="20" w:line="240" w:lineRule="auto"/>
        <w:rPr>
          <w:rFonts w:asciiTheme="majorBidi" w:hAnsiTheme="majorBidi" w:cstheme="majorBidi"/>
          <w:sz w:val="24"/>
          <w:szCs w:val="24"/>
        </w:rPr>
      </w:pPr>
      <w:r w:rsidRPr="2AB65308">
        <w:rPr>
          <w:rFonts w:ascii="Times New Roman" w:hAnsi="Times New Roman" w:cs="Times New Roman" w:asciiTheme="majorBidi" w:hAnsiTheme="majorBidi" w:cstheme="majorBidi"/>
          <w:sz w:val="24"/>
          <w:szCs w:val="24"/>
          <w:highlight w:val="yellow"/>
        </w:rPr>
        <w:fldChar w:fldCharType="end"/>
      </w:r>
    </w:p>
    <w:p w:rsidR="2AB65308" w:rsidP="2AB65308" w:rsidRDefault="2AB65308" w14:paraId="3D8B5BE6" w14:textId="141C3340">
      <w:pPr>
        <w:pStyle w:val="StandardWeb"/>
        <w:spacing w:before="48" w:beforeLines="20" w:beforeAutospacing="off" w:after="48" w:afterLines="20" w:afterAutospacing="off"/>
        <w:jc w:val="both"/>
        <w:rPr>
          <w:rFonts w:ascii="Times New Roman" w:hAnsi="Times New Roman" w:cs="Times New Roman" w:asciiTheme="majorBidi" w:hAnsiTheme="majorBidi" w:cstheme="majorBidi"/>
          <w:u w:val="single"/>
        </w:rPr>
      </w:pPr>
    </w:p>
    <w:p xmlns:wp14="http://schemas.microsoft.com/office/word/2010/wordml" w:rsidRPr="00BC6C60" w:rsidR="00E040E8" w:rsidP="00E040E8" w:rsidRDefault="00E040E8" w14:paraId="55384E42" wp14:textId="77777777">
      <w:pPr>
        <w:pStyle w:val="StandardWeb"/>
        <w:spacing w:before="48" w:beforeLines="20" w:beforeAutospacing="0" w:after="48" w:afterLines="20" w:afterAutospacing="0"/>
        <w:jc w:val="both"/>
        <w:rPr>
          <w:rFonts w:asciiTheme="majorBidi" w:hAnsiTheme="majorBidi" w:cstheme="majorBidi"/>
          <w:u w:val="single"/>
          <w:rtl/>
        </w:rPr>
      </w:pPr>
      <w:r w:rsidRPr="00BC6C60">
        <w:rPr>
          <w:rFonts w:asciiTheme="majorBidi" w:hAnsiTheme="majorBidi" w:cstheme="majorBidi"/>
          <w:u w:val="single"/>
        </w:rPr>
        <w:t xml:space="preserve">Introductory Secondary Literature </w:t>
      </w:r>
    </w:p>
    <w:p xmlns:wp14="http://schemas.microsoft.com/office/word/2010/wordml" w:rsidR="00E040E8" w:rsidP="00E040E8" w:rsidRDefault="00E040E8" w14:paraId="75695344"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 xml:space="preserve">Boehm, </w:t>
      </w:r>
      <w:proofErr w:type="spellStart"/>
      <w:r w:rsidRPr="00BC6C60">
        <w:rPr>
          <w:rFonts w:asciiTheme="majorBidi" w:hAnsiTheme="majorBidi" w:cstheme="majorBidi"/>
          <w:sz w:val="24"/>
          <w:szCs w:val="24"/>
        </w:rPr>
        <w:t>Omri</w:t>
      </w:r>
      <w:proofErr w:type="spellEnd"/>
      <w:r w:rsidRPr="00BC6C60">
        <w:rPr>
          <w:rFonts w:asciiTheme="majorBidi" w:hAnsiTheme="majorBidi" w:cstheme="majorBidi"/>
          <w:sz w:val="24"/>
          <w:szCs w:val="24"/>
        </w:rPr>
        <w:t xml:space="preserve">, </w:t>
      </w:r>
      <w:r w:rsidRPr="00BC6C60">
        <w:rPr>
          <w:rFonts w:asciiTheme="majorBidi" w:hAnsiTheme="majorBidi" w:cstheme="majorBidi"/>
          <w:i/>
          <w:iCs/>
          <w:sz w:val="24"/>
          <w:szCs w:val="24"/>
        </w:rPr>
        <w:t>The Binding of Isaac: A Religious Model of Disobedience,</w:t>
      </w:r>
      <w:r w:rsidRPr="00BC6C60">
        <w:rPr>
          <w:rFonts w:asciiTheme="majorBidi" w:hAnsiTheme="majorBidi" w:cstheme="majorBidi"/>
          <w:sz w:val="24"/>
          <w:szCs w:val="24"/>
        </w:rPr>
        <w:t xml:space="preserve"> Library of Hebrew Bible / Old Testament Studies 468, T &amp; T Clark, 2007.</w:t>
      </w:r>
    </w:p>
    <w:p xmlns:wp14="http://schemas.microsoft.com/office/word/2010/wordml" w:rsidR="001E4001" w:rsidP="001E4001" w:rsidRDefault="001E4001" w14:paraId="4B9577C5"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Butler, Judith</w:t>
      </w:r>
      <w:r>
        <w:rPr>
          <w:rFonts w:asciiTheme="majorBidi" w:hAnsiTheme="majorBidi" w:cstheme="majorBidi"/>
          <w:sz w:val="24"/>
          <w:szCs w:val="24"/>
        </w:rPr>
        <w:t>,</w:t>
      </w:r>
      <w:r w:rsidRPr="00BC6C60">
        <w:rPr>
          <w:rFonts w:asciiTheme="majorBidi" w:hAnsiTheme="majorBidi" w:cstheme="majorBidi"/>
          <w:sz w:val="24"/>
          <w:szCs w:val="24"/>
        </w:rPr>
        <w:t xml:space="preserve"> “Kierkegaard’s Speculative Despair,” in </w:t>
      </w:r>
      <w:r w:rsidRPr="00BC6C60">
        <w:rPr>
          <w:rFonts w:asciiTheme="majorBidi" w:hAnsiTheme="majorBidi" w:cstheme="majorBidi"/>
          <w:i/>
          <w:iCs/>
          <w:sz w:val="24"/>
          <w:szCs w:val="24"/>
        </w:rPr>
        <w:t>The Age of German Idealism</w:t>
      </w:r>
      <w:r w:rsidRPr="00BC6C60">
        <w:rPr>
          <w:rFonts w:asciiTheme="majorBidi" w:hAnsiTheme="majorBidi" w:cstheme="majorBidi"/>
          <w:sz w:val="24"/>
          <w:szCs w:val="24"/>
        </w:rPr>
        <w:t xml:space="preserve">, ed. Robert C. Solomon and Kathleen M. Higgins, </w:t>
      </w:r>
      <w:proofErr w:type="spellStart"/>
      <w:r w:rsidRPr="00BC6C60">
        <w:rPr>
          <w:rFonts w:asciiTheme="majorBidi" w:hAnsiTheme="majorBidi" w:cstheme="majorBidi"/>
          <w:sz w:val="24"/>
          <w:szCs w:val="24"/>
        </w:rPr>
        <w:t>Routledge</w:t>
      </w:r>
      <w:proofErr w:type="spellEnd"/>
      <w:r w:rsidRPr="00BC6C60">
        <w:rPr>
          <w:rFonts w:asciiTheme="majorBidi" w:hAnsiTheme="majorBidi" w:cstheme="majorBidi"/>
          <w:sz w:val="24"/>
          <w:szCs w:val="24"/>
        </w:rPr>
        <w:t xml:space="preserve"> History of Philosophy, Volume VI (</w:t>
      </w:r>
      <w:proofErr w:type="spellStart"/>
      <w:r w:rsidRPr="00BC6C60">
        <w:rPr>
          <w:rFonts w:asciiTheme="majorBidi" w:hAnsiTheme="majorBidi" w:cstheme="majorBidi"/>
          <w:sz w:val="24"/>
          <w:szCs w:val="24"/>
        </w:rPr>
        <w:t>Routledge</w:t>
      </w:r>
      <w:proofErr w:type="spellEnd"/>
      <w:r w:rsidRPr="00BC6C60">
        <w:rPr>
          <w:rFonts w:asciiTheme="majorBidi" w:hAnsiTheme="majorBidi" w:cstheme="majorBidi"/>
          <w:sz w:val="24"/>
          <w:szCs w:val="24"/>
        </w:rPr>
        <w:t>, 2003), 363–391.</w:t>
      </w:r>
    </w:p>
    <w:p xmlns:wp14="http://schemas.microsoft.com/office/word/2010/wordml" w:rsidRPr="001E4001" w:rsidR="001E4001" w:rsidP="001E4001" w:rsidRDefault="001E4001" w14:paraId="250E758C"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Dooley,</w:t>
      </w:r>
      <w:r>
        <w:rPr>
          <w:rFonts w:asciiTheme="majorBidi" w:hAnsiTheme="majorBidi" w:cstheme="majorBidi"/>
          <w:sz w:val="24"/>
          <w:szCs w:val="24"/>
        </w:rPr>
        <w:t xml:space="preserve"> </w:t>
      </w:r>
      <w:r w:rsidRPr="00BC6C60">
        <w:rPr>
          <w:rFonts w:asciiTheme="majorBidi" w:hAnsiTheme="majorBidi" w:cstheme="majorBidi"/>
          <w:sz w:val="24"/>
          <w:szCs w:val="24"/>
        </w:rPr>
        <w:t>Mark</w:t>
      </w:r>
      <w:r>
        <w:rPr>
          <w:rFonts w:asciiTheme="majorBidi" w:hAnsiTheme="majorBidi" w:cstheme="majorBidi"/>
          <w:sz w:val="24"/>
          <w:szCs w:val="24"/>
        </w:rPr>
        <w:t>,</w:t>
      </w:r>
      <w:r w:rsidRPr="00BC6C60">
        <w:rPr>
          <w:rFonts w:asciiTheme="majorBidi" w:hAnsiTheme="majorBidi" w:cstheme="majorBidi"/>
          <w:sz w:val="24"/>
          <w:szCs w:val="24"/>
        </w:rPr>
        <w:t xml:space="preserve"> </w:t>
      </w:r>
      <w:r w:rsidRPr="00BC6C60">
        <w:rPr>
          <w:rFonts w:asciiTheme="majorBidi" w:hAnsiTheme="majorBidi" w:cstheme="majorBidi"/>
          <w:i/>
          <w:iCs/>
          <w:sz w:val="24"/>
          <w:szCs w:val="24"/>
        </w:rPr>
        <w:t xml:space="preserve">The Politics of Exodus: </w:t>
      </w:r>
      <w:proofErr w:type="spellStart"/>
      <w:r w:rsidRPr="00BC6C60">
        <w:rPr>
          <w:rFonts w:asciiTheme="majorBidi" w:hAnsiTheme="majorBidi" w:cstheme="majorBidi"/>
          <w:i/>
          <w:iCs/>
          <w:sz w:val="24"/>
          <w:szCs w:val="24"/>
        </w:rPr>
        <w:t>Søren</w:t>
      </w:r>
      <w:proofErr w:type="spellEnd"/>
      <w:r w:rsidRPr="00BC6C60">
        <w:rPr>
          <w:rFonts w:asciiTheme="majorBidi" w:hAnsiTheme="majorBidi" w:cstheme="majorBidi"/>
          <w:i/>
          <w:iCs/>
          <w:sz w:val="24"/>
          <w:szCs w:val="24"/>
        </w:rPr>
        <w:t xml:space="preserve"> Kierkegaard’s Ethics of Responsibility</w:t>
      </w:r>
      <w:r w:rsidRPr="00BC6C60">
        <w:rPr>
          <w:rFonts w:asciiTheme="majorBidi" w:hAnsiTheme="majorBidi" w:cstheme="majorBidi"/>
          <w:sz w:val="24"/>
          <w:szCs w:val="24"/>
        </w:rPr>
        <w:t xml:space="preserve">, 1st </w:t>
      </w:r>
      <w:proofErr w:type="spellStart"/>
      <w:proofErr w:type="gramStart"/>
      <w:r w:rsidRPr="00BC6C60">
        <w:rPr>
          <w:rFonts w:asciiTheme="majorBidi" w:hAnsiTheme="majorBidi" w:cstheme="majorBidi"/>
          <w:sz w:val="24"/>
          <w:szCs w:val="24"/>
        </w:rPr>
        <w:t>ed</w:t>
      </w:r>
      <w:proofErr w:type="spellEnd"/>
      <w:proofErr w:type="gramEnd"/>
      <w:r w:rsidRPr="00BC6C60">
        <w:rPr>
          <w:rFonts w:asciiTheme="majorBidi" w:hAnsiTheme="majorBidi" w:cstheme="majorBidi"/>
          <w:sz w:val="24"/>
          <w:szCs w:val="24"/>
        </w:rPr>
        <w:t>, Perspectives in Continental Philosophy, no. 20 (Fordham University Press, 2001)</w:t>
      </w:r>
      <w:r>
        <w:rPr>
          <w:rFonts w:asciiTheme="majorBidi" w:hAnsiTheme="majorBidi" w:cstheme="majorBidi"/>
          <w:sz w:val="24"/>
          <w:szCs w:val="24"/>
        </w:rPr>
        <w:t xml:space="preserve">, 56–73. </w:t>
      </w:r>
    </w:p>
    <w:p xmlns:wp14="http://schemas.microsoft.com/office/word/2010/wordml" w:rsidR="001E4001" w:rsidP="001E4001" w:rsidRDefault="001E4001" w14:paraId="0712020D" wp14:textId="77777777">
      <w:pPr>
        <w:pStyle w:val="Literaturverzeichnis"/>
        <w:spacing w:before="48" w:beforeLines="20" w:after="48" w:afterLines="20"/>
        <w:rPr>
          <w:sz w:val="24"/>
          <w:szCs w:val="24"/>
        </w:rPr>
      </w:pPr>
      <w:proofErr w:type="spellStart"/>
      <w:r w:rsidRPr="00BC6C60">
        <w:rPr>
          <w:rFonts w:asciiTheme="majorBidi" w:hAnsiTheme="majorBidi" w:cstheme="majorBidi"/>
          <w:sz w:val="24"/>
          <w:szCs w:val="24"/>
        </w:rPr>
        <w:t>Halbertal</w:t>
      </w:r>
      <w:proofErr w:type="spellEnd"/>
      <w:r>
        <w:rPr>
          <w:rFonts w:asciiTheme="majorBidi" w:hAnsiTheme="majorBidi" w:cstheme="majorBidi"/>
          <w:sz w:val="24"/>
          <w:szCs w:val="24"/>
        </w:rPr>
        <w:t>,</w:t>
      </w:r>
      <w:r w:rsidRPr="00BC6C60">
        <w:rPr>
          <w:rFonts w:asciiTheme="majorBidi" w:hAnsiTheme="majorBidi" w:cstheme="majorBidi"/>
          <w:sz w:val="24"/>
          <w:szCs w:val="24"/>
        </w:rPr>
        <w:t xml:space="preserve"> </w:t>
      </w:r>
      <w:r w:rsidRPr="00BC6C60">
        <w:rPr>
          <w:rFonts w:asciiTheme="majorBidi" w:hAnsiTheme="majorBidi" w:cstheme="majorBidi"/>
          <w:sz w:val="24"/>
          <w:szCs w:val="24"/>
        </w:rPr>
        <w:fldChar w:fldCharType="begin"/>
      </w:r>
      <w:r w:rsidRPr="00BC6C60">
        <w:rPr>
          <w:rFonts w:asciiTheme="majorBidi" w:hAnsiTheme="majorBidi" w:cstheme="majorBidi"/>
          <w:sz w:val="24"/>
          <w:szCs w:val="24"/>
        </w:rPr>
        <w:instrText xml:space="preserve"> ADDIN ZOTERO_ITEM CSL_CITATION {"citationID":"i5PxHKD9","properties":{"formattedCitation":"Moshe Halbertal, {\\i{}Maimonides: Life and Thought} (Princeton University Press, 2013), 208\\uc0\\u8211{}16, 321\\uc0\\u8211{}29.","plainCitation":"Moshe Halbertal, Maimonides: Life and Thought (Princeton University Press, 2013), 208–16, 321–29.","noteIndex":0},"citationItems":[{"id":86,"uris":["http://zotero.org/users/17607884/items/VRRC5SCR"],"itemData":{"id":86,"type":"book","abstract":"A comprehensive and accessible account of the life and thought of Judaism's most celebrated philosopherMaimonides was the greatest Jewish philosopher and legal scholar of the medieval period, a towering figure who has had a profound and lasting influence on Jewish law, philosophy, and religious consciousness. This book provides a comprehensive and accessible introduction to his life and work, revealing how his philosophical sensibility and outlook informed his interpretation of Jewish tradition.Moshe Halbertal vividly describes Maimonides's childhood in Muslim Spain, his family's flight to North Africa to escape persecution, and their eventual resettling in Egypt. He draws on Maimonides's letters and the testimonies of his contemporaries, both Muslims and Jews, to offer new insights into his personality and the circumstances that shaped his thinking. Halbertal then turns to Maimonides's legal and philosophical work, analyzing his three great books—Commentary on the Mishnah, the Mishneh Torah, and the Guide of the Perplexed. He discusses Maimonides's battle against all attempts to personify God, his conviction that God's presence in the world is mediated through the natural order rather than through miracles, and his locating of philosophy and science at the summit of the religious life of Torah. Halbertal examines Maimonides's philosophical positions on fundamental questions such as the nature and limits of religious language, creation and nature, prophecy, providence, the problem of evil, and the meaning of the commandments.A stunning achievement, Maimonides offers an unparalleled look at the life and thought of this important Jewish philosopher, scholar, and theologian.","event-place":"Princeton and Oxford","ISBN":"978-1-4008-4847-8","language":"en","note":"Google-Books-ID: UY2GAAAAQBAJ","number-of-pages":"399","publisher":"Princeton University Press","publisher-place":"Princeton and Oxford","source":"Google Books","title":"Maimonides: Life and Thought","title-short":"Maimonides","author":[{"family":"Halbertal","given":"Moshe"}],"issued":{"date-parts":[["2013"]]}},"locator":"208-216, 321-329","label":"page"}],"schema":"https://github.com/citation-style-language/schema/raw/master/csl-citation.json"} </w:instrText>
      </w:r>
      <w:r w:rsidRPr="00BC6C60">
        <w:rPr>
          <w:rFonts w:asciiTheme="majorBidi" w:hAnsiTheme="majorBidi" w:cstheme="majorBidi"/>
          <w:sz w:val="24"/>
          <w:szCs w:val="24"/>
        </w:rPr>
        <w:fldChar w:fldCharType="separate"/>
      </w:r>
      <w:r w:rsidRPr="00BC6C60">
        <w:rPr>
          <w:rFonts w:asciiTheme="majorBidi" w:hAnsiTheme="majorBidi" w:cstheme="majorBidi"/>
          <w:sz w:val="24"/>
          <w:szCs w:val="24"/>
        </w:rPr>
        <w:t xml:space="preserve">Moshe, </w:t>
      </w:r>
      <w:r w:rsidRPr="00BC6C60">
        <w:rPr>
          <w:rFonts w:asciiTheme="majorBidi" w:hAnsiTheme="majorBidi" w:cstheme="majorBidi"/>
          <w:i/>
          <w:iCs/>
          <w:sz w:val="24"/>
          <w:szCs w:val="24"/>
        </w:rPr>
        <w:t>Maimonides: Life and Thought</w:t>
      </w:r>
      <w:r w:rsidRPr="00BC6C60">
        <w:rPr>
          <w:rFonts w:asciiTheme="majorBidi" w:hAnsiTheme="majorBidi" w:cstheme="majorBidi"/>
          <w:sz w:val="24"/>
          <w:szCs w:val="24"/>
        </w:rPr>
        <w:t xml:space="preserve"> (Princeton University Press, 2013)</w:t>
      </w:r>
      <w:r w:rsidRPr="00BC6C60">
        <w:rPr>
          <w:rFonts w:asciiTheme="majorBidi" w:hAnsiTheme="majorBidi" w:cstheme="majorBidi"/>
          <w:sz w:val="24"/>
          <w:szCs w:val="24"/>
        </w:rPr>
        <w:fldChar w:fldCharType="end"/>
      </w:r>
      <w:r>
        <w:rPr>
          <w:rFonts w:asciiTheme="majorBidi" w:hAnsiTheme="majorBidi" w:cstheme="majorBidi"/>
          <w:sz w:val="24"/>
          <w:szCs w:val="24"/>
        </w:rPr>
        <w:t>.</w:t>
      </w:r>
    </w:p>
    <w:p xmlns:wp14="http://schemas.microsoft.com/office/word/2010/wordml" w:rsidR="00E040E8" w:rsidP="00E040E8" w:rsidRDefault="00E040E8" w14:paraId="2DD8E493" wp14:textId="77777777">
      <w:pPr>
        <w:pStyle w:val="Literaturverzeichnis"/>
        <w:spacing w:before="48" w:beforeLines="20" w:after="48" w:afterLines="20"/>
        <w:rPr>
          <w:rFonts w:asciiTheme="majorBidi" w:hAnsiTheme="majorBidi" w:cstheme="majorBidi"/>
          <w:sz w:val="24"/>
          <w:szCs w:val="24"/>
        </w:rPr>
      </w:pPr>
      <w:proofErr w:type="spellStart"/>
      <w:r w:rsidRPr="00BC6C60">
        <w:rPr>
          <w:rFonts w:asciiTheme="majorBidi" w:hAnsiTheme="majorBidi" w:cstheme="majorBidi"/>
          <w:sz w:val="24"/>
          <w:szCs w:val="24"/>
        </w:rPr>
        <w:t>Fackenheim</w:t>
      </w:r>
      <w:proofErr w:type="spellEnd"/>
      <w:r w:rsidRPr="00BC6C60">
        <w:rPr>
          <w:rFonts w:asciiTheme="majorBidi" w:hAnsiTheme="majorBidi" w:cstheme="majorBidi"/>
          <w:sz w:val="24"/>
          <w:szCs w:val="24"/>
        </w:rPr>
        <w:t xml:space="preserve">, Emil L, </w:t>
      </w:r>
      <w:r w:rsidRPr="00BC6C60">
        <w:rPr>
          <w:rFonts w:asciiTheme="majorBidi" w:hAnsiTheme="majorBidi" w:cstheme="majorBidi"/>
          <w:i/>
          <w:iCs/>
          <w:sz w:val="24"/>
          <w:szCs w:val="24"/>
        </w:rPr>
        <w:t xml:space="preserve">Encounters </w:t>
      </w:r>
      <w:proofErr w:type="gramStart"/>
      <w:r w:rsidRPr="00BC6C60">
        <w:rPr>
          <w:rFonts w:asciiTheme="majorBidi" w:hAnsiTheme="majorBidi" w:cstheme="majorBidi"/>
          <w:i/>
          <w:iCs/>
          <w:sz w:val="24"/>
          <w:szCs w:val="24"/>
        </w:rPr>
        <w:t>Between</w:t>
      </w:r>
      <w:proofErr w:type="gramEnd"/>
      <w:r w:rsidRPr="00BC6C60">
        <w:rPr>
          <w:rFonts w:asciiTheme="majorBidi" w:hAnsiTheme="majorBidi" w:cstheme="majorBidi"/>
          <w:i/>
          <w:iCs/>
          <w:sz w:val="24"/>
          <w:szCs w:val="24"/>
        </w:rPr>
        <w:t xml:space="preserve"> Judaism and Modern Philosophy: A Preface to Future Jewish Thought,</w:t>
      </w:r>
      <w:r w:rsidRPr="00BC6C60">
        <w:rPr>
          <w:rFonts w:asciiTheme="majorBidi" w:hAnsiTheme="majorBidi" w:cstheme="majorBidi"/>
          <w:sz w:val="24"/>
          <w:szCs w:val="24"/>
        </w:rPr>
        <w:t xml:space="preserve"> </w:t>
      </w:r>
      <w:proofErr w:type="spellStart"/>
      <w:r w:rsidRPr="00BC6C60">
        <w:rPr>
          <w:rFonts w:asciiTheme="majorBidi" w:hAnsiTheme="majorBidi" w:cstheme="majorBidi"/>
          <w:sz w:val="24"/>
          <w:szCs w:val="24"/>
        </w:rPr>
        <w:t>Schocken</w:t>
      </w:r>
      <w:proofErr w:type="spellEnd"/>
      <w:r w:rsidRPr="00BC6C60">
        <w:rPr>
          <w:rFonts w:asciiTheme="majorBidi" w:hAnsiTheme="majorBidi" w:cstheme="majorBidi"/>
          <w:sz w:val="24"/>
          <w:szCs w:val="24"/>
        </w:rPr>
        <w:t xml:space="preserve"> Books, 1980, 31–78.</w:t>
      </w:r>
    </w:p>
    <w:p xmlns:wp14="http://schemas.microsoft.com/office/word/2010/wordml" w:rsidRPr="001E4001" w:rsidR="001E4001" w:rsidP="001E4001" w:rsidRDefault="001E4001" w14:paraId="1D7A6D04" wp14:textId="77777777">
      <w:pPr>
        <w:pStyle w:val="Literaturverzeichnis"/>
        <w:spacing w:before="48" w:beforeLines="20" w:after="48" w:afterLines="20"/>
        <w:rPr>
          <w:rFonts w:asciiTheme="majorBidi" w:hAnsiTheme="majorBidi" w:cstheme="majorBidi"/>
          <w:sz w:val="24"/>
          <w:szCs w:val="24"/>
        </w:rPr>
      </w:pPr>
      <w:proofErr w:type="spellStart"/>
      <w:r w:rsidRPr="001E4001">
        <w:rPr>
          <w:rFonts w:asciiTheme="majorBidi" w:hAnsiTheme="majorBidi" w:cstheme="majorBidi"/>
          <w:sz w:val="24"/>
          <w:szCs w:val="24"/>
          <w:lang w:val="de-DE"/>
        </w:rPr>
        <w:t>Kangas</w:t>
      </w:r>
      <w:proofErr w:type="spellEnd"/>
      <w:r>
        <w:rPr>
          <w:rFonts w:asciiTheme="majorBidi" w:hAnsiTheme="majorBidi" w:cstheme="majorBidi"/>
          <w:sz w:val="24"/>
          <w:szCs w:val="24"/>
          <w:lang w:val="de-DE"/>
        </w:rPr>
        <w:t xml:space="preserve">, </w:t>
      </w:r>
      <w:r w:rsidRPr="00BC6C60">
        <w:rPr>
          <w:rFonts w:asciiTheme="majorBidi" w:hAnsiTheme="majorBidi" w:cstheme="majorBidi"/>
          <w:sz w:val="24"/>
          <w:szCs w:val="24"/>
        </w:rPr>
        <w:fldChar w:fldCharType="begin"/>
      </w:r>
      <w:r w:rsidRPr="001E4001">
        <w:rPr>
          <w:rFonts w:asciiTheme="majorBidi" w:hAnsiTheme="majorBidi" w:cstheme="majorBidi"/>
          <w:sz w:val="24"/>
          <w:szCs w:val="24"/>
          <w:lang w:val="de-DE"/>
        </w:rPr>
        <w:instrText xml:space="preserve"> ADDIN ZOTERO_ITEM CSL_CITATION {"citationID":"jdoFhv34","properties":{"formattedCitation":"David J. Kangas, {\\i{}Kierkegaard\\uc0\\u8217{}s Instant: On Beginnings}, Studies in Continental Thought (Indiana University Press, 2007), 125\\uc0\\u8211{}59; Judith Butler, \\uc0\\u8220{}Kierkegaard\\uc0\\u8217{}s Speculative Despair,\\uc0\\u8221{} in {\\i{}The Age of German Idealism}, ed. Robert C. Solomon and Kathleen M. Higgins, Routledge History of Philosophy, Volume VI (Routledge, 2003); Mark Dooley, {\\i{}The Politics of Exodus: S\\uc0\\u248{}ren Kierkegaard\\uc0\\u8217{}s Ethics of Responsibility}, 1st ed, Perspectives in Continental Philosophy, no. 20 (Fordham University Press, 2001), 56\\uc0\\u8211{}73.","plainCitation":"David J. Kangas, Kierkegaard’s Instant: On Beginnings, Studies in Continental Thought (Indiana University Press, 2007), 125–59; Judith Butler, “Kierkegaard’s Speculative Despair,” in The Age of German Idealism, ed. Robert C. Solomon and Kathleen M. Higgins, Routledge History of Philosophy, Volume VI (Routledge, 2003); Mark Dooley, The Politics of Exodus: Søren Kierkegaard’s Ethics of Responsibility, 1st ed, Perspectives in Continental Philosophy, no. 20 (Fordham University Press, 2001), 56–73.","dontUpdate":true,"noteIndex":0},"citationItems":[{"id":26,"uris":["http://zotero.org/users/17607884/items/7LPBY7WZ"],"itemData":{"id":26,"type":"book","call-number":"B4377 .K36 2007","collection-title":"Studies in Continental thought","event-place":"Bloomington","ISBN":"978-0-253-34859-3","number-of-pages":"235","publisher":"Indiana University Press","publisher-place":"Bloomington","source":"Library of Congress ISBN","title":"Kierkegaard's instant: on beginnings","title-short":"Kierkegaard's instant","author":[{"family":"Kangas","given":"David J."}],"issued":{"date-parts":[["2007"]]}},"locator":"125-159","label":"page"},{"id":177,"uris":["http://zotero.org/users/17607884/items/N9CCS8E8"],"itemData":{"id":177,"type":"chapter","abstract":"Kierkegaard's critique of Hegel concerns primarily the failure of a philosophy of reflection to take account of that which exceeds reflection itself: passion, existence, faith. The irony in Kierkegaard's challenge to Hegelianism is, however, minimally twofold. This chapter tries to make clear why despair is a category or, in Kierkegaard's terms, a sickness and a passion, whose analysis is crucial to both the extension and critique of Hegel in Kierkegaard's work. The opening page of Sickness unto Death appears to be a properly Hegelian exegesis populated with familiar terminology: ‘self,’ ‘spirit,’ ‘m</w:instrText>
      </w:r>
      <w:r w:rsidRPr="001E4001">
        <w:rPr>
          <w:rFonts w:asciiTheme="majorBidi" w:hAnsiTheme="majorBidi" w:cstheme="majorBidi"/>
          <w:sz w:val="24"/>
          <w:szCs w:val="24"/>
        </w:rPr>
        <w:instrText xml:space="preserve">ediation,’ ‘relation.’ And yet, as the first paragraph proceeds it becomes clear that Kierkegaard is parodying Hegel's language; significantly, however, this is a parody that does not entail a thorough rejection of Hegel. In Kierkegaard's view, Hegel's ethical community requires the sacrifice of the individual to an anonymous law.","collection-title":"Routledge History of Philosophy, Volume VI","container-title":"The Age of German Idealism","note":"number-of-pages: 33","page":"363-392","publisher":"Routledge","title":"Kierkegaard's Speculative Despair","author":[{"family":"Butler","given":"Judith"}],"editor":[{"family":"Solomon","given":"Robert C."},{"family":"Higgins","given":"Kathleen M."}],"issued":{"date-parts":[["2003"]]}}},{"id":176,"uris":["http://zotero.org/users/17607884/items/NRWU54BZ"],"itemData":{"id":176,"type":"book","call-number":"B4378.E8 D66 2001","collection-number":"no. 20","collection-title":"Perspectives in continental philosophy","edition":"1st ed","event-place":"New York","ISBN":"978-0-8232-2124-0","number-of-pages":"285","publisher":"Fordham University Press","publisher-place":"New York","source":"Library of Congress ISBN","title":"The politics of Exodus: Søren Kierkegaard's ethics of responsibility","title-short":"The politics of Exodus","author":[{"family":"Dooley","given":"Mark"}],"issued":{"date-parts":[["2001"]]}},"locator":"56–73","label":"page"}],"schema":"https://github.com/citation-style-language/schema/raw/master/csl-citation.json"} </w:instrText>
      </w:r>
      <w:r w:rsidRPr="00BC6C60">
        <w:rPr>
          <w:rFonts w:asciiTheme="majorBidi" w:hAnsiTheme="majorBidi" w:cstheme="majorBidi"/>
          <w:sz w:val="24"/>
          <w:szCs w:val="24"/>
        </w:rPr>
        <w:fldChar w:fldCharType="separate"/>
      </w:r>
      <w:r w:rsidRPr="001E4001">
        <w:rPr>
          <w:rFonts w:asciiTheme="majorBidi" w:hAnsiTheme="majorBidi" w:cstheme="majorBidi"/>
          <w:sz w:val="24"/>
          <w:szCs w:val="24"/>
        </w:rPr>
        <w:t xml:space="preserve">David J., </w:t>
      </w:r>
      <w:r w:rsidRPr="001E4001">
        <w:rPr>
          <w:rFonts w:asciiTheme="majorBidi" w:hAnsiTheme="majorBidi" w:cstheme="majorBidi"/>
          <w:i/>
          <w:iCs/>
          <w:sz w:val="24"/>
          <w:szCs w:val="24"/>
        </w:rPr>
        <w:t>Kierkegaard’s Instant: On Beginnings</w:t>
      </w:r>
      <w:r w:rsidRPr="001E4001">
        <w:rPr>
          <w:rFonts w:asciiTheme="majorBidi" w:hAnsiTheme="majorBidi" w:cstheme="majorBidi"/>
          <w:sz w:val="24"/>
          <w:szCs w:val="24"/>
        </w:rPr>
        <w:t>, Studies in Continental Thought (Indiana University Press, 2007), 125–59.</w:t>
      </w:r>
      <w:r w:rsidRPr="00BC6C60">
        <w:rPr>
          <w:rFonts w:asciiTheme="majorBidi" w:hAnsiTheme="majorBidi" w:cstheme="majorBidi"/>
          <w:sz w:val="24"/>
          <w:szCs w:val="24"/>
        </w:rPr>
        <w:fldChar w:fldCharType="end"/>
      </w:r>
    </w:p>
    <w:p xmlns:wp14="http://schemas.microsoft.com/office/word/2010/wordml" w:rsidRPr="00BC6C60" w:rsidR="00E040E8" w:rsidP="00E040E8" w:rsidRDefault="00E040E8" w14:paraId="646B0D4E" wp14:textId="77777777">
      <w:pPr>
        <w:pStyle w:val="Literaturverzeichnis"/>
        <w:spacing w:before="48" w:beforeLines="20" w:after="48" w:afterLines="20"/>
        <w:rPr>
          <w:rFonts w:asciiTheme="majorBidi" w:hAnsiTheme="majorBidi" w:cstheme="majorBidi"/>
          <w:sz w:val="24"/>
          <w:szCs w:val="24"/>
        </w:rPr>
      </w:pPr>
      <w:proofErr w:type="spellStart"/>
      <w:r w:rsidRPr="00BC6C60">
        <w:rPr>
          <w:rFonts w:asciiTheme="majorBidi" w:hAnsiTheme="majorBidi" w:cstheme="majorBidi"/>
          <w:sz w:val="24"/>
          <w:szCs w:val="24"/>
        </w:rPr>
        <w:t>Koller</w:t>
      </w:r>
      <w:proofErr w:type="spellEnd"/>
      <w:r w:rsidRPr="00BC6C60">
        <w:rPr>
          <w:rFonts w:asciiTheme="majorBidi" w:hAnsiTheme="majorBidi" w:cstheme="majorBidi"/>
          <w:sz w:val="24"/>
          <w:szCs w:val="24"/>
        </w:rPr>
        <w:t xml:space="preserve">, Aaron J., </w:t>
      </w:r>
      <w:r w:rsidRPr="00BC6C60">
        <w:rPr>
          <w:rFonts w:asciiTheme="majorBidi" w:hAnsiTheme="majorBidi" w:cstheme="majorBidi"/>
          <w:i/>
          <w:iCs/>
          <w:sz w:val="24"/>
          <w:szCs w:val="24"/>
        </w:rPr>
        <w:t xml:space="preserve">Unbinding Isaac: The Significance of the </w:t>
      </w:r>
      <w:proofErr w:type="spellStart"/>
      <w:r w:rsidRPr="00BC6C60">
        <w:rPr>
          <w:rFonts w:asciiTheme="majorBidi" w:hAnsiTheme="majorBidi" w:cstheme="majorBidi"/>
          <w:i/>
          <w:iCs/>
          <w:sz w:val="24"/>
          <w:szCs w:val="24"/>
        </w:rPr>
        <w:t>Akedah</w:t>
      </w:r>
      <w:proofErr w:type="spellEnd"/>
      <w:r w:rsidRPr="00BC6C60">
        <w:rPr>
          <w:rFonts w:asciiTheme="majorBidi" w:hAnsiTheme="majorBidi" w:cstheme="majorBidi"/>
          <w:i/>
          <w:iCs/>
          <w:sz w:val="24"/>
          <w:szCs w:val="24"/>
        </w:rPr>
        <w:t xml:space="preserve"> for Modern Jewish Thought</w:t>
      </w:r>
      <w:r w:rsidRPr="00BC6C60">
        <w:rPr>
          <w:rFonts w:asciiTheme="majorBidi" w:hAnsiTheme="majorBidi" w:cstheme="majorBidi"/>
          <w:sz w:val="24"/>
          <w:szCs w:val="24"/>
        </w:rPr>
        <w:t xml:space="preserve">, </w:t>
      </w:r>
      <w:proofErr w:type="gramStart"/>
      <w:r w:rsidRPr="00BC6C60">
        <w:rPr>
          <w:rFonts w:asciiTheme="majorBidi" w:hAnsiTheme="majorBidi" w:cstheme="majorBidi"/>
          <w:sz w:val="24"/>
          <w:szCs w:val="24"/>
        </w:rPr>
        <w:t>The</w:t>
      </w:r>
      <w:proofErr w:type="gramEnd"/>
      <w:r w:rsidRPr="00BC6C60">
        <w:rPr>
          <w:rFonts w:asciiTheme="majorBidi" w:hAnsiTheme="majorBidi" w:cstheme="majorBidi"/>
          <w:sz w:val="24"/>
          <w:szCs w:val="24"/>
        </w:rPr>
        <w:t xml:space="preserve"> Jewish Publication Society (University of Nebraska Press, 2020).</w:t>
      </w:r>
    </w:p>
    <w:p xmlns:wp14="http://schemas.microsoft.com/office/word/2010/wordml" w:rsidRPr="00BC6C60" w:rsidR="00E040E8" w:rsidP="00E040E8" w:rsidRDefault="00E040E8" w14:paraId="3624038C"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 xml:space="preserve">Levy, </w:t>
      </w:r>
      <w:proofErr w:type="spellStart"/>
      <w:r w:rsidRPr="00BC6C60">
        <w:rPr>
          <w:rFonts w:asciiTheme="majorBidi" w:hAnsiTheme="majorBidi" w:cstheme="majorBidi"/>
          <w:sz w:val="24"/>
          <w:szCs w:val="24"/>
        </w:rPr>
        <w:t>Ze’ev</w:t>
      </w:r>
      <w:proofErr w:type="spellEnd"/>
      <w:r w:rsidRPr="00BC6C60">
        <w:rPr>
          <w:rFonts w:asciiTheme="majorBidi" w:hAnsiTheme="majorBidi" w:cstheme="majorBidi"/>
          <w:sz w:val="24"/>
          <w:szCs w:val="24"/>
        </w:rPr>
        <w:t xml:space="preserve">, “On the </w:t>
      </w:r>
      <w:proofErr w:type="spellStart"/>
      <w:r w:rsidRPr="00BC6C60">
        <w:rPr>
          <w:rFonts w:asciiTheme="majorBidi" w:hAnsiTheme="majorBidi" w:cstheme="majorBidi"/>
          <w:sz w:val="24"/>
          <w:szCs w:val="24"/>
        </w:rPr>
        <w:t>Aquedah</w:t>
      </w:r>
      <w:proofErr w:type="spellEnd"/>
      <w:r w:rsidRPr="00BC6C60">
        <w:rPr>
          <w:rFonts w:asciiTheme="majorBidi" w:hAnsiTheme="majorBidi" w:cstheme="majorBidi"/>
          <w:sz w:val="24"/>
          <w:szCs w:val="24"/>
        </w:rPr>
        <w:t xml:space="preserve"> in Modern Philosophy,” in </w:t>
      </w:r>
      <w:r w:rsidRPr="00BC6C60">
        <w:rPr>
          <w:rFonts w:asciiTheme="majorBidi" w:hAnsiTheme="majorBidi" w:cstheme="majorBidi"/>
          <w:i/>
          <w:iCs/>
          <w:sz w:val="24"/>
          <w:szCs w:val="24"/>
        </w:rPr>
        <w:t>Journal of Jewish Thought and Philosophy</w:t>
      </w:r>
      <w:r w:rsidRPr="00BC6C60">
        <w:rPr>
          <w:rFonts w:asciiTheme="majorBidi" w:hAnsiTheme="majorBidi" w:cstheme="majorBidi"/>
          <w:sz w:val="24"/>
          <w:szCs w:val="24"/>
        </w:rPr>
        <w:t xml:space="preserve"> 15, no. 1 (2007): 85–108. </w:t>
      </w:r>
    </w:p>
    <w:p xmlns:wp14="http://schemas.microsoft.com/office/word/2010/wordml" w:rsidRPr="00BC6C60" w:rsidR="0032532A" w:rsidP="0032532A" w:rsidRDefault="00E040E8" w14:paraId="1ADAC218"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lang w:val="de-DE"/>
        </w:rPr>
        <w:t xml:space="preserve">Neef, Heinz-Dieter, </w:t>
      </w:r>
      <w:r w:rsidRPr="00BC6C60">
        <w:rPr>
          <w:rFonts w:asciiTheme="majorBidi" w:hAnsiTheme="majorBidi" w:cstheme="majorBidi"/>
          <w:i/>
          <w:iCs/>
          <w:sz w:val="24"/>
          <w:szCs w:val="24"/>
          <w:lang w:val="de-DE"/>
        </w:rPr>
        <w:t>Die Prüfung Abrahams. Eine exegetisch-theologische Studie zu Gen 22,1-19</w:t>
      </w:r>
      <w:r w:rsidRPr="00BC6C60">
        <w:rPr>
          <w:rFonts w:asciiTheme="majorBidi" w:hAnsiTheme="majorBidi" w:cstheme="majorBidi"/>
          <w:sz w:val="24"/>
          <w:szCs w:val="24"/>
          <w:lang w:val="de-DE"/>
        </w:rPr>
        <w:t xml:space="preserve">. </w:t>
      </w:r>
      <w:proofErr w:type="spellStart"/>
      <w:r w:rsidRPr="00BC6C60">
        <w:rPr>
          <w:rFonts w:asciiTheme="majorBidi" w:hAnsiTheme="majorBidi" w:cstheme="majorBidi"/>
          <w:sz w:val="24"/>
          <w:szCs w:val="24"/>
        </w:rPr>
        <w:t>Tübingen</w:t>
      </w:r>
      <w:proofErr w:type="spellEnd"/>
      <w:r w:rsidRPr="00BC6C60">
        <w:rPr>
          <w:rFonts w:asciiTheme="majorBidi" w:hAnsiTheme="majorBidi" w:cstheme="majorBidi"/>
          <w:sz w:val="24"/>
          <w:szCs w:val="24"/>
        </w:rPr>
        <w:t xml:space="preserve">: Mohr </w:t>
      </w:r>
      <w:proofErr w:type="spellStart"/>
      <w:r w:rsidRPr="00BC6C60">
        <w:rPr>
          <w:rFonts w:asciiTheme="majorBidi" w:hAnsiTheme="majorBidi" w:cstheme="majorBidi"/>
          <w:sz w:val="24"/>
          <w:szCs w:val="24"/>
        </w:rPr>
        <w:t>Siebeck</w:t>
      </w:r>
      <w:proofErr w:type="spellEnd"/>
      <w:r w:rsidRPr="00BC6C60">
        <w:rPr>
          <w:rFonts w:asciiTheme="majorBidi" w:hAnsiTheme="majorBidi" w:cstheme="majorBidi"/>
          <w:sz w:val="24"/>
          <w:szCs w:val="24"/>
        </w:rPr>
        <w:t>, 2025.</w:t>
      </w:r>
    </w:p>
    <w:p xmlns:wp14="http://schemas.microsoft.com/office/word/2010/wordml" w:rsidR="001E4001" w:rsidP="001E4001" w:rsidRDefault="0032532A" w14:paraId="657E4E8E" wp14:textId="77777777">
      <w:pPr>
        <w:pStyle w:val="Literaturverzeichnis"/>
        <w:spacing w:before="48" w:beforeLines="20" w:after="48" w:afterLines="20"/>
        <w:rPr>
          <w:rFonts w:asciiTheme="majorBidi" w:hAnsiTheme="majorBidi" w:cstheme="majorBidi"/>
          <w:sz w:val="24"/>
          <w:szCs w:val="24"/>
        </w:rPr>
      </w:pPr>
      <w:r w:rsidRPr="00BC6C60">
        <w:rPr>
          <w:rFonts w:asciiTheme="majorBidi" w:hAnsiTheme="majorBidi" w:cstheme="majorBidi"/>
          <w:sz w:val="24"/>
          <w:szCs w:val="24"/>
        </w:rPr>
        <w:t xml:space="preserve">Stern, Josef, “The Unbinding of Isaac. Maimonides on the </w:t>
      </w:r>
      <w:proofErr w:type="spellStart"/>
      <w:r w:rsidRPr="00BC6C60">
        <w:rPr>
          <w:rFonts w:asciiTheme="majorBidi" w:hAnsiTheme="majorBidi" w:cstheme="majorBidi"/>
          <w:sz w:val="24"/>
          <w:szCs w:val="24"/>
        </w:rPr>
        <w:t>Aqedah</w:t>
      </w:r>
      <w:proofErr w:type="spellEnd"/>
      <w:r w:rsidRPr="00BC6C60">
        <w:rPr>
          <w:rFonts w:asciiTheme="majorBidi" w:hAnsiTheme="majorBidi" w:cstheme="majorBidi"/>
          <w:sz w:val="24"/>
          <w:szCs w:val="24"/>
        </w:rPr>
        <w:t xml:space="preserve">”, in </w:t>
      </w:r>
      <w:r w:rsidRPr="00BC6C60">
        <w:rPr>
          <w:rFonts w:asciiTheme="majorBidi" w:hAnsiTheme="majorBidi" w:cstheme="majorBidi"/>
          <w:i/>
          <w:iCs/>
          <w:sz w:val="24"/>
          <w:szCs w:val="24"/>
        </w:rPr>
        <w:t>Biblical Narratives and Human Flourishing</w:t>
      </w:r>
      <w:r w:rsidRPr="00BC6C60">
        <w:rPr>
          <w:rFonts w:asciiTheme="majorBidi" w:hAnsiTheme="majorBidi" w:cstheme="majorBidi"/>
          <w:sz w:val="24"/>
          <w:szCs w:val="24"/>
        </w:rPr>
        <w:t xml:space="preserve"> (</w:t>
      </w:r>
      <w:proofErr w:type="spellStart"/>
      <w:r w:rsidRPr="00BC6C60">
        <w:rPr>
          <w:rFonts w:asciiTheme="majorBidi" w:hAnsiTheme="majorBidi" w:cstheme="majorBidi"/>
          <w:sz w:val="24"/>
          <w:szCs w:val="24"/>
        </w:rPr>
        <w:t>Routledge</w:t>
      </w:r>
      <w:proofErr w:type="spellEnd"/>
      <w:r w:rsidRPr="00BC6C60">
        <w:rPr>
          <w:rFonts w:asciiTheme="majorBidi" w:hAnsiTheme="majorBidi" w:cstheme="majorBidi"/>
          <w:sz w:val="24"/>
          <w:szCs w:val="24"/>
        </w:rPr>
        <w:t>, 2024), 43-61.</w:t>
      </w:r>
    </w:p>
    <w:p xmlns:wp14="http://schemas.microsoft.com/office/word/2010/wordml" w:rsidR="001E4001" w:rsidP="001E4001" w:rsidRDefault="001E4001" w14:paraId="3461D779" wp14:textId="77777777">
      <w:pPr>
        <w:pStyle w:val="Literaturverzeichnis"/>
        <w:spacing w:before="48" w:beforeLines="20" w:after="48" w:afterLines="20"/>
        <w:rPr>
          <w:rFonts w:asciiTheme="majorBidi" w:hAnsiTheme="majorBidi" w:cstheme="majorBidi"/>
          <w:sz w:val="24"/>
          <w:szCs w:val="24"/>
        </w:rPr>
      </w:pPr>
    </w:p>
    <w:p xmlns:wp14="http://schemas.microsoft.com/office/word/2010/wordml" w:rsidR="00BC6C60" w:rsidP="00F82EEB" w:rsidRDefault="00BC6C60" w14:paraId="3CF2D8B6"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0FB78278"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1FC39945"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0562CB0E"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34CE0A41"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62EBF3C5"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6D98A12B"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2946DB82"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5997CC1D" wp14:textId="77777777">
      <w:pPr>
        <w:autoSpaceDE w:val="0"/>
        <w:autoSpaceDN w:val="0"/>
        <w:adjustRightInd w:val="0"/>
        <w:spacing w:after="0" w:line="240" w:lineRule="auto"/>
        <w:rPr>
          <w:sz w:val="24"/>
          <w:szCs w:val="24"/>
        </w:rPr>
      </w:pPr>
    </w:p>
    <w:p xmlns:wp14="http://schemas.microsoft.com/office/word/2010/wordml" w:rsidR="00BC6C60" w:rsidP="00F82EEB" w:rsidRDefault="00BC6C60" w14:paraId="110FFD37" wp14:textId="77777777">
      <w:pPr>
        <w:autoSpaceDE w:val="0"/>
        <w:autoSpaceDN w:val="0"/>
        <w:adjustRightInd w:val="0"/>
        <w:spacing w:after="0" w:line="240" w:lineRule="auto"/>
        <w:rPr>
          <w:sz w:val="24"/>
          <w:szCs w:val="24"/>
        </w:rPr>
      </w:pPr>
    </w:p>
    <w:p xmlns:wp14="http://schemas.microsoft.com/office/word/2010/wordml" w:rsidRPr="00BC6C60" w:rsidR="00BC6C60" w:rsidP="00F82EEB" w:rsidRDefault="00BC6C60" w14:paraId="6B699379" wp14:textId="77777777">
      <w:pPr>
        <w:autoSpaceDE w:val="0"/>
        <w:autoSpaceDN w:val="0"/>
        <w:adjustRightInd w:val="0"/>
        <w:spacing w:after="0" w:line="240" w:lineRule="auto"/>
        <w:rPr>
          <w:sz w:val="24"/>
          <w:szCs w:val="24"/>
        </w:rPr>
      </w:pPr>
    </w:p>
    <w:sectPr w:rsidRPr="00BC6C60" w:rsidR="00BC6C60">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194509" w:rsidP="00265BE4" w:rsidRDefault="00194509" w14:paraId="1F72F646" wp14:textId="77777777">
      <w:pPr>
        <w:spacing w:after="0" w:line="240" w:lineRule="auto"/>
      </w:pPr>
      <w:r>
        <w:separator/>
      </w:r>
    </w:p>
  </w:endnote>
  <w:endnote w:type="continuationSeparator" w:id="0">
    <w:p xmlns:wp14="http://schemas.microsoft.com/office/word/2010/wordml" w:rsidR="00194509" w:rsidP="00265BE4" w:rsidRDefault="00194509" w14:paraId="08CE6F9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2678"/>
      <w:docPartObj>
        <w:docPartGallery w:val="Page Numbers (Bottom of Page)"/>
        <w:docPartUnique/>
      </w:docPartObj>
      <w:rPr>
        <w:rFonts w:ascii="Times New Roman" w:hAnsi="Times New Roman" w:cs="Times New Roman" w:asciiTheme="majorBidi" w:hAnsiTheme="majorBidi" w:cstheme="majorBidi"/>
        <w:sz w:val="20"/>
        <w:szCs w:val="20"/>
      </w:rPr>
    </w:sdtPr>
    <w:sdtEndPr>
      <w:rPr>
        <w:rFonts w:ascii="Times New Roman" w:hAnsi="Times New Roman" w:cs="Times New Roman" w:asciiTheme="majorBidi" w:hAnsiTheme="majorBidi" w:cstheme="majorBidi"/>
        <w:sz w:val="20"/>
        <w:szCs w:val="20"/>
      </w:rPr>
    </w:sdtEndPr>
    <w:sdtContent>
      <w:p xmlns:wp14="http://schemas.microsoft.com/office/word/2010/wordml" w:rsidRPr="001508CF" w:rsidR="001508CF" w:rsidRDefault="001508CF" w14:paraId="075C4ADA" wp14:textId="77777777">
        <w:pPr>
          <w:pStyle w:val="Fuzeile"/>
          <w:jc w:val="center"/>
          <w:rPr>
            <w:rFonts w:asciiTheme="majorBidi" w:hAnsiTheme="majorBidi" w:cstheme="majorBidi"/>
            <w:sz w:val="20"/>
            <w:szCs w:val="20"/>
          </w:rPr>
        </w:pPr>
        <w:r w:rsidRPr="001508CF">
          <w:rPr>
            <w:rFonts w:asciiTheme="majorBidi" w:hAnsiTheme="majorBidi" w:cstheme="majorBidi"/>
            <w:sz w:val="20"/>
            <w:szCs w:val="20"/>
          </w:rPr>
          <w:fldChar w:fldCharType="begin"/>
        </w:r>
        <w:r w:rsidRPr="001508CF">
          <w:rPr>
            <w:rFonts w:asciiTheme="majorBidi" w:hAnsiTheme="majorBidi" w:cstheme="majorBidi"/>
            <w:sz w:val="20"/>
            <w:szCs w:val="20"/>
          </w:rPr>
          <w:instrText>PAGE   \* MERGEFORMAT</w:instrText>
        </w:r>
        <w:r w:rsidRPr="001508CF">
          <w:rPr>
            <w:rFonts w:asciiTheme="majorBidi" w:hAnsiTheme="majorBidi" w:cstheme="majorBidi"/>
            <w:sz w:val="20"/>
            <w:szCs w:val="20"/>
          </w:rPr>
          <w:fldChar w:fldCharType="separate"/>
        </w:r>
        <w:r w:rsidRPr="00F651FC" w:rsidR="00F651FC">
          <w:rPr>
            <w:rFonts w:asciiTheme="majorBidi" w:hAnsiTheme="majorBidi" w:cstheme="majorBidi"/>
            <w:noProof/>
            <w:sz w:val="20"/>
            <w:szCs w:val="20"/>
            <w:lang w:val="de-DE"/>
          </w:rPr>
          <w:t>4</w:t>
        </w:r>
        <w:r w:rsidRPr="001508CF">
          <w:rPr>
            <w:rFonts w:asciiTheme="majorBidi" w:hAnsiTheme="majorBidi" w:cstheme="majorBidi"/>
            <w:sz w:val="20"/>
            <w:szCs w:val="20"/>
          </w:rPr>
          <w:fldChar w:fldCharType="end"/>
        </w:r>
      </w:p>
    </w:sdtContent>
  </w:sdt>
  <w:p xmlns:wp14="http://schemas.microsoft.com/office/word/2010/wordml" w:rsidRPr="001508CF" w:rsidR="001508CF" w:rsidRDefault="001508CF" w14:paraId="3FE9F23F" wp14:textId="77777777">
    <w:pPr>
      <w:pStyle w:val="Fuzeile"/>
      <w:rPr>
        <w:rFonts w:asciiTheme="majorBidi" w:hAnsiTheme="majorBidi" w:cstheme="maj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194509" w:rsidP="00265BE4" w:rsidRDefault="00194509" w14:paraId="61CDCEAD" wp14:textId="77777777">
      <w:pPr>
        <w:spacing w:after="0" w:line="240" w:lineRule="auto"/>
      </w:pPr>
      <w:r>
        <w:separator/>
      </w:r>
    </w:p>
  </w:footnote>
  <w:footnote w:type="continuationSeparator" w:id="0">
    <w:p xmlns:wp14="http://schemas.microsoft.com/office/word/2010/wordml" w:rsidR="00194509" w:rsidP="00265BE4" w:rsidRDefault="00194509" w14:paraId="6BB9E253"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4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D"/>
    <w:rsid w:val="00004C50"/>
    <w:rsid w:val="0000554D"/>
    <w:rsid w:val="00075357"/>
    <w:rsid w:val="000B3C95"/>
    <w:rsid w:val="00106B29"/>
    <w:rsid w:val="001224F2"/>
    <w:rsid w:val="001250A5"/>
    <w:rsid w:val="001508CF"/>
    <w:rsid w:val="00194509"/>
    <w:rsid w:val="001A1DBB"/>
    <w:rsid w:val="001B393A"/>
    <w:rsid w:val="001B430C"/>
    <w:rsid w:val="001E4001"/>
    <w:rsid w:val="001E4FA2"/>
    <w:rsid w:val="0021161D"/>
    <w:rsid w:val="00245D7B"/>
    <w:rsid w:val="00265BE4"/>
    <w:rsid w:val="00267AEC"/>
    <w:rsid w:val="002A0482"/>
    <w:rsid w:val="002D4E5F"/>
    <w:rsid w:val="00316E97"/>
    <w:rsid w:val="0032532A"/>
    <w:rsid w:val="00357B68"/>
    <w:rsid w:val="00382C49"/>
    <w:rsid w:val="003A18A8"/>
    <w:rsid w:val="003F2E0D"/>
    <w:rsid w:val="0043084F"/>
    <w:rsid w:val="00441717"/>
    <w:rsid w:val="00484858"/>
    <w:rsid w:val="00485C48"/>
    <w:rsid w:val="004B3289"/>
    <w:rsid w:val="004B63A1"/>
    <w:rsid w:val="004D2D78"/>
    <w:rsid w:val="00510CF4"/>
    <w:rsid w:val="00543DF1"/>
    <w:rsid w:val="00561CCF"/>
    <w:rsid w:val="005650FD"/>
    <w:rsid w:val="00570D1E"/>
    <w:rsid w:val="005737F4"/>
    <w:rsid w:val="0058005A"/>
    <w:rsid w:val="0059397A"/>
    <w:rsid w:val="00597C05"/>
    <w:rsid w:val="005A6317"/>
    <w:rsid w:val="005B3F79"/>
    <w:rsid w:val="005C3B9C"/>
    <w:rsid w:val="005E4C48"/>
    <w:rsid w:val="00610FDF"/>
    <w:rsid w:val="0066187B"/>
    <w:rsid w:val="00667051"/>
    <w:rsid w:val="00680C2A"/>
    <w:rsid w:val="0069791F"/>
    <w:rsid w:val="006A1ACD"/>
    <w:rsid w:val="006D020C"/>
    <w:rsid w:val="00747A18"/>
    <w:rsid w:val="00754502"/>
    <w:rsid w:val="00757B07"/>
    <w:rsid w:val="00793283"/>
    <w:rsid w:val="00827CE9"/>
    <w:rsid w:val="00862947"/>
    <w:rsid w:val="008803F2"/>
    <w:rsid w:val="008A27D1"/>
    <w:rsid w:val="008B128E"/>
    <w:rsid w:val="008E7144"/>
    <w:rsid w:val="008F526C"/>
    <w:rsid w:val="00907A4F"/>
    <w:rsid w:val="00926435"/>
    <w:rsid w:val="0096330F"/>
    <w:rsid w:val="009B0FC8"/>
    <w:rsid w:val="009B47B6"/>
    <w:rsid w:val="009C4199"/>
    <w:rsid w:val="009D15A9"/>
    <w:rsid w:val="009E3B50"/>
    <w:rsid w:val="00A107EE"/>
    <w:rsid w:val="00A41864"/>
    <w:rsid w:val="00AA29EA"/>
    <w:rsid w:val="00AF301E"/>
    <w:rsid w:val="00B007E8"/>
    <w:rsid w:val="00B24BD7"/>
    <w:rsid w:val="00BA235A"/>
    <w:rsid w:val="00BA5017"/>
    <w:rsid w:val="00BC6C60"/>
    <w:rsid w:val="00BE49F8"/>
    <w:rsid w:val="00C01580"/>
    <w:rsid w:val="00C47CD0"/>
    <w:rsid w:val="00C51967"/>
    <w:rsid w:val="00CF15BD"/>
    <w:rsid w:val="00CF2A9F"/>
    <w:rsid w:val="00D052E9"/>
    <w:rsid w:val="00D2687F"/>
    <w:rsid w:val="00D87E5A"/>
    <w:rsid w:val="00D9396C"/>
    <w:rsid w:val="00DA4714"/>
    <w:rsid w:val="00DD6265"/>
    <w:rsid w:val="00E040E8"/>
    <w:rsid w:val="00E16841"/>
    <w:rsid w:val="00E61187"/>
    <w:rsid w:val="00E61AC4"/>
    <w:rsid w:val="00E6334E"/>
    <w:rsid w:val="00E8562E"/>
    <w:rsid w:val="00EB1A6E"/>
    <w:rsid w:val="00ED5E72"/>
    <w:rsid w:val="00ED69FC"/>
    <w:rsid w:val="00EE5141"/>
    <w:rsid w:val="00EE7D05"/>
    <w:rsid w:val="00F125A8"/>
    <w:rsid w:val="00F13D44"/>
    <w:rsid w:val="00F144F0"/>
    <w:rsid w:val="00F42235"/>
    <w:rsid w:val="00F57862"/>
    <w:rsid w:val="00F64E00"/>
    <w:rsid w:val="00F651FC"/>
    <w:rsid w:val="00F76C65"/>
    <w:rsid w:val="00F80AA8"/>
    <w:rsid w:val="00F82EEB"/>
    <w:rsid w:val="00F846BC"/>
    <w:rsid w:val="00FE0998"/>
    <w:rsid w:val="0A4B317B"/>
    <w:rsid w:val="0DE5AE53"/>
    <w:rsid w:val="2AB65308"/>
    <w:rsid w:val="343FA1BC"/>
    <w:rsid w:val="4690653E"/>
    <w:rsid w:val="4CF5DB43"/>
    <w:rsid w:val="78A4E679"/>
    <w:rsid w:val="7C781F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7A955"/>
  <w15:chartTrackingRefBased/>
  <w15:docId w15:val="{E256FD53-CECF-49D8-A8F1-8E7A440340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il" w:customStyle="1">
    <w:name w:val="il"/>
    <w:basedOn w:val="Absatz-Standardschriftart"/>
    <w:rsid w:val="00265BE4"/>
  </w:style>
  <w:style w:type="paragraph" w:styleId="Funotentext">
    <w:name w:val="footnote text"/>
    <w:basedOn w:val="Standard"/>
    <w:link w:val="FunotentextZchn"/>
    <w:uiPriority w:val="99"/>
    <w:unhideWhenUsed/>
    <w:rsid w:val="00265BE4"/>
    <w:pPr>
      <w:spacing w:after="0" w:line="240" w:lineRule="auto"/>
    </w:pPr>
    <w:rPr>
      <w:sz w:val="20"/>
      <w:szCs w:val="20"/>
    </w:rPr>
  </w:style>
  <w:style w:type="character" w:styleId="FunotentextZchn" w:customStyle="1">
    <w:name w:val="Fußnotentext Zchn"/>
    <w:basedOn w:val="Absatz-Standardschriftart"/>
    <w:link w:val="Funotentext"/>
    <w:uiPriority w:val="99"/>
    <w:rsid w:val="00265BE4"/>
    <w:rPr>
      <w:sz w:val="20"/>
      <w:szCs w:val="20"/>
    </w:rPr>
  </w:style>
  <w:style w:type="character" w:styleId="Funotenzeichen">
    <w:name w:val="footnote reference"/>
    <w:basedOn w:val="Absatz-Standardschriftart"/>
    <w:uiPriority w:val="99"/>
    <w:semiHidden/>
    <w:unhideWhenUsed/>
    <w:rsid w:val="00265BE4"/>
    <w:rPr>
      <w:vertAlign w:val="superscript"/>
    </w:rPr>
  </w:style>
  <w:style w:type="paragraph" w:styleId="Literaturverzeichnis">
    <w:name w:val="Bibliography"/>
    <w:basedOn w:val="Standard"/>
    <w:next w:val="Standard"/>
    <w:uiPriority w:val="37"/>
    <w:unhideWhenUsed/>
    <w:rsid w:val="00265BE4"/>
    <w:pPr>
      <w:spacing w:after="240" w:line="240" w:lineRule="auto"/>
      <w:ind w:left="720" w:hanging="720"/>
    </w:pPr>
  </w:style>
  <w:style w:type="paragraph" w:styleId="StandardWeb">
    <w:name w:val="Normal (Web)"/>
    <w:basedOn w:val="Standard"/>
    <w:uiPriority w:val="99"/>
    <w:unhideWhenUsed/>
    <w:rsid w:val="005E4C48"/>
    <w:pPr>
      <w:spacing w:before="100" w:beforeAutospacing="1" w:after="100" w:afterAutospacing="1" w:line="240" w:lineRule="auto"/>
    </w:pPr>
    <w:rPr>
      <w:rFonts w:ascii="Times New Roman" w:hAnsi="Times New Roman" w:eastAsia="Times New Roman" w:cs="Times New Roman"/>
      <w:sz w:val="24"/>
      <w:szCs w:val="24"/>
    </w:rPr>
  </w:style>
  <w:style w:type="character" w:styleId="Fett">
    <w:name w:val="Strong"/>
    <w:basedOn w:val="Absatz-Standardschriftart"/>
    <w:uiPriority w:val="22"/>
    <w:qFormat/>
    <w:rsid w:val="00757B07"/>
    <w:rPr>
      <w:b/>
      <w:bCs/>
    </w:rPr>
  </w:style>
  <w:style w:type="paragraph" w:styleId="KeinLeerraum">
    <w:name w:val="No Spacing"/>
    <w:uiPriority w:val="1"/>
    <w:qFormat/>
    <w:rsid w:val="00667051"/>
    <w:pPr>
      <w:spacing w:after="0" w:line="240" w:lineRule="auto"/>
    </w:pPr>
  </w:style>
  <w:style w:type="character" w:styleId="Hyperlink">
    <w:name w:val="Hyperlink"/>
    <w:basedOn w:val="Absatz-Standardschriftart"/>
    <w:uiPriority w:val="99"/>
    <w:semiHidden/>
    <w:unhideWhenUsed/>
    <w:rsid w:val="00ED69FC"/>
    <w:rPr>
      <w:color w:val="0000FF"/>
      <w:u w:val="single"/>
    </w:rPr>
  </w:style>
  <w:style w:type="character" w:styleId="BesuchterHyperlink">
    <w:name w:val="FollowedHyperlink"/>
    <w:basedOn w:val="Absatz-Standardschriftart"/>
    <w:uiPriority w:val="99"/>
    <w:semiHidden/>
    <w:unhideWhenUsed/>
    <w:rsid w:val="00ED69FC"/>
    <w:rPr>
      <w:color w:val="954F72" w:themeColor="followedHyperlink"/>
      <w:u w:val="single"/>
    </w:rPr>
  </w:style>
  <w:style w:type="character" w:styleId="encoded-date" w:customStyle="1">
    <w:name w:val="encoded-date"/>
    <w:basedOn w:val="Absatz-Standardschriftart"/>
    <w:rsid w:val="001A1DBB"/>
  </w:style>
  <w:style w:type="character" w:styleId="highlight" w:customStyle="1">
    <w:name w:val="highlight"/>
    <w:basedOn w:val="Absatz-Standardschriftart"/>
    <w:rsid w:val="00F64E00"/>
  </w:style>
  <w:style w:type="paragraph" w:styleId="Kopfzeile">
    <w:name w:val="header"/>
    <w:basedOn w:val="Standard"/>
    <w:link w:val="KopfzeileZchn"/>
    <w:uiPriority w:val="99"/>
    <w:unhideWhenUsed/>
    <w:rsid w:val="00CF2A9F"/>
    <w:pPr>
      <w:tabs>
        <w:tab w:val="center" w:pos="4680"/>
        <w:tab w:val="right" w:pos="9360"/>
      </w:tabs>
      <w:spacing w:after="0" w:line="240" w:lineRule="auto"/>
    </w:pPr>
  </w:style>
  <w:style w:type="character" w:styleId="KopfzeileZchn" w:customStyle="1">
    <w:name w:val="Kopfzeile Zchn"/>
    <w:basedOn w:val="Absatz-Standardschriftart"/>
    <w:link w:val="Kopfzeile"/>
    <w:uiPriority w:val="99"/>
    <w:rsid w:val="00CF2A9F"/>
  </w:style>
  <w:style w:type="paragraph" w:styleId="Fuzeile">
    <w:name w:val="footer"/>
    <w:basedOn w:val="Standard"/>
    <w:link w:val="FuzeileZchn"/>
    <w:uiPriority w:val="99"/>
    <w:unhideWhenUsed/>
    <w:rsid w:val="001508CF"/>
    <w:pPr>
      <w:tabs>
        <w:tab w:val="center" w:pos="4680"/>
        <w:tab w:val="right" w:pos="9360"/>
      </w:tabs>
      <w:spacing w:after="0" w:line="240" w:lineRule="auto"/>
    </w:pPr>
  </w:style>
  <w:style w:type="character" w:styleId="FuzeileZchn" w:customStyle="1">
    <w:name w:val="Fußzeile Zchn"/>
    <w:basedOn w:val="Absatz-Standardschriftart"/>
    <w:link w:val="Fuzeile"/>
    <w:uiPriority w:val="99"/>
    <w:rsid w:val="001508CF"/>
  </w:style>
  <w:style w:type="paragraph" w:styleId="Sprechblasentext">
    <w:name w:val="Balloon Text"/>
    <w:basedOn w:val="Standard"/>
    <w:link w:val="SprechblasentextZchn"/>
    <w:uiPriority w:val="99"/>
    <w:semiHidden/>
    <w:unhideWhenUsed/>
    <w:rsid w:val="00EB1A6E"/>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EB1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6053">
      <w:bodyDiv w:val="1"/>
      <w:marLeft w:val="0"/>
      <w:marRight w:val="0"/>
      <w:marTop w:val="0"/>
      <w:marBottom w:val="0"/>
      <w:divBdr>
        <w:top w:val="none" w:sz="0" w:space="0" w:color="auto"/>
        <w:left w:val="none" w:sz="0" w:space="0" w:color="auto"/>
        <w:bottom w:val="none" w:sz="0" w:space="0" w:color="auto"/>
        <w:right w:val="none" w:sz="0" w:space="0" w:color="auto"/>
      </w:divBdr>
    </w:div>
    <w:div w:id="84153734">
      <w:bodyDiv w:val="1"/>
      <w:marLeft w:val="0"/>
      <w:marRight w:val="0"/>
      <w:marTop w:val="0"/>
      <w:marBottom w:val="0"/>
      <w:divBdr>
        <w:top w:val="none" w:sz="0" w:space="0" w:color="auto"/>
        <w:left w:val="none" w:sz="0" w:space="0" w:color="auto"/>
        <w:bottom w:val="none" w:sz="0" w:space="0" w:color="auto"/>
        <w:right w:val="none" w:sz="0" w:space="0" w:color="auto"/>
      </w:divBdr>
    </w:div>
    <w:div w:id="305669859">
      <w:bodyDiv w:val="1"/>
      <w:marLeft w:val="0"/>
      <w:marRight w:val="0"/>
      <w:marTop w:val="0"/>
      <w:marBottom w:val="0"/>
      <w:divBdr>
        <w:top w:val="none" w:sz="0" w:space="0" w:color="auto"/>
        <w:left w:val="none" w:sz="0" w:space="0" w:color="auto"/>
        <w:bottom w:val="none" w:sz="0" w:space="0" w:color="auto"/>
        <w:right w:val="none" w:sz="0" w:space="0" w:color="auto"/>
      </w:divBdr>
    </w:div>
    <w:div w:id="346980247">
      <w:bodyDiv w:val="1"/>
      <w:marLeft w:val="0"/>
      <w:marRight w:val="0"/>
      <w:marTop w:val="0"/>
      <w:marBottom w:val="0"/>
      <w:divBdr>
        <w:top w:val="none" w:sz="0" w:space="0" w:color="auto"/>
        <w:left w:val="none" w:sz="0" w:space="0" w:color="auto"/>
        <w:bottom w:val="none" w:sz="0" w:space="0" w:color="auto"/>
        <w:right w:val="none" w:sz="0" w:space="0" w:color="auto"/>
      </w:divBdr>
    </w:div>
    <w:div w:id="359664579">
      <w:bodyDiv w:val="1"/>
      <w:marLeft w:val="0"/>
      <w:marRight w:val="0"/>
      <w:marTop w:val="0"/>
      <w:marBottom w:val="0"/>
      <w:divBdr>
        <w:top w:val="none" w:sz="0" w:space="0" w:color="auto"/>
        <w:left w:val="none" w:sz="0" w:space="0" w:color="auto"/>
        <w:bottom w:val="none" w:sz="0" w:space="0" w:color="auto"/>
        <w:right w:val="none" w:sz="0" w:space="0" w:color="auto"/>
      </w:divBdr>
    </w:div>
    <w:div w:id="422796692">
      <w:bodyDiv w:val="1"/>
      <w:marLeft w:val="0"/>
      <w:marRight w:val="0"/>
      <w:marTop w:val="0"/>
      <w:marBottom w:val="0"/>
      <w:divBdr>
        <w:top w:val="none" w:sz="0" w:space="0" w:color="auto"/>
        <w:left w:val="none" w:sz="0" w:space="0" w:color="auto"/>
        <w:bottom w:val="none" w:sz="0" w:space="0" w:color="auto"/>
        <w:right w:val="none" w:sz="0" w:space="0" w:color="auto"/>
      </w:divBdr>
    </w:div>
    <w:div w:id="538202557">
      <w:bodyDiv w:val="1"/>
      <w:marLeft w:val="0"/>
      <w:marRight w:val="0"/>
      <w:marTop w:val="0"/>
      <w:marBottom w:val="0"/>
      <w:divBdr>
        <w:top w:val="none" w:sz="0" w:space="0" w:color="auto"/>
        <w:left w:val="none" w:sz="0" w:space="0" w:color="auto"/>
        <w:bottom w:val="none" w:sz="0" w:space="0" w:color="auto"/>
        <w:right w:val="none" w:sz="0" w:space="0" w:color="auto"/>
      </w:divBdr>
    </w:div>
    <w:div w:id="711151670">
      <w:bodyDiv w:val="1"/>
      <w:marLeft w:val="0"/>
      <w:marRight w:val="0"/>
      <w:marTop w:val="0"/>
      <w:marBottom w:val="0"/>
      <w:divBdr>
        <w:top w:val="none" w:sz="0" w:space="0" w:color="auto"/>
        <w:left w:val="none" w:sz="0" w:space="0" w:color="auto"/>
        <w:bottom w:val="none" w:sz="0" w:space="0" w:color="auto"/>
        <w:right w:val="none" w:sz="0" w:space="0" w:color="auto"/>
      </w:divBdr>
    </w:div>
    <w:div w:id="775907009">
      <w:bodyDiv w:val="1"/>
      <w:marLeft w:val="0"/>
      <w:marRight w:val="0"/>
      <w:marTop w:val="0"/>
      <w:marBottom w:val="0"/>
      <w:divBdr>
        <w:top w:val="none" w:sz="0" w:space="0" w:color="auto"/>
        <w:left w:val="none" w:sz="0" w:space="0" w:color="auto"/>
        <w:bottom w:val="none" w:sz="0" w:space="0" w:color="auto"/>
        <w:right w:val="none" w:sz="0" w:space="0" w:color="auto"/>
      </w:divBdr>
    </w:div>
    <w:div w:id="887686444">
      <w:bodyDiv w:val="1"/>
      <w:marLeft w:val="0"/>
      <w:marRight w:val="0"/>
      <w:marTop w:val="0"/>
      <w:marBottom w:val="0"/>
      <w:divBdr>
        <w:top w:val="none" w:sz="0" w:space="0" w:color="auto"/>
        <w:left w:val="none" w:sz="0" w:space="0" w:color="auto"/>
        <w:bottom w:val="none" w:sz="0" w:space="0" w:color="auto"/>
        <w:right w:val="none" w:sz="0" w:space="0" w:color="auto"/>
      </w:divBdr>
    </w:div>
    <w:div w:id="932472469">
      <w:bodyDiv w:val="1"/>
      <w:marLeft w:val="0"/>
      <w:marRight w:val="0"/>
      <w:marTop w:val="0"/>
      <w:marBottom w:val="0"/>
      <w:divBdr>
        <w:top w:val="none" w:sz="0" w:space="0" w:color="auto"/>
        <w:left w:val="none" w:sz="0" w:space="0" w:color="auto"/>
        <w:bottom w:val="none" w:sz="0" w:space="0" w:color="auto"/>
        <w:right w:val="none" w:sz="0" w:space="0" w:color="auto"/>
      </w:divBdr>
    </w:div>
    <w:div w:id="946816845">
      <w:bodyDiv w:val="1"/>
      <w:marLeft w:val="0"/>
      <w:marRight w:val="0"/>
      <w:marTop w:val="0"/>
      <w:marBottom w:val="0"/>
      <w:divBdr>
        <w:top w:val="none" w:sz="0" w:space="0" w:color="auto"/>
        <w:left w:val="none" w:sz="0" w:space="0" w:color="auto"/>
        <w:bottom w:val="none" w:sz="0" w:space="0" w:color="auto"/>
        <w:right w:val="none" w:sz="0" w:space="0" w:color="auto"/>
      </w:divBdr>
    </w:div>
    <w:div w:id="1832520253">
      <w:bodyDiv w:val="1"/>
      <w:marLeft w:val="0"/>
      <w:marRight w:val="0"/>
      <w:marTop w:val="0"/>
      <w:marBottom w:val="0"/>
      <w:divBdr>
        <w:top w:val="none" w:sz="0" w:space="0" w:color="auto"/>
        <w:left w:val="none" w:sz="0" w:space="0" w:color="auto"/>
        <w:bottom w:val="none" w:sz="0" w:space="0" w:color="auto"/>
        <w:right w:val="none" w:sz="0" w:space="0" w:color="auto"/>
      </w:divBdr>
    </w:div>
    <w:div w:id="1884050905">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
    <w:div w:id="2044860246">
      <w:bodyDiv w:val="1"/>
      <w:marLeft w:val="0"/>
      <w:marRight w:val="0"/>
      <w:marTop w:val="0"/>
      <w:marBottom w:val="0"/>
      <w:divBdr>
        <w:top w:val="none" w:sz="0" w:space="0" w:color="auto"/>
        <w:left w:val="none" w:sz="0" w:space="0" w:color="auto"/>
        <w:bottom w:val="none" w:sz="0" w:space="0" w:color="auto"/>
        <w:right w:val="none" w:sz="0" w:space="0" w:color="auto"/>
      </w:divBdr>
    </w:div>
    <w:div w:id="20673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archive.nytimes.com/opinionator.blogs.nytimes.com/2014/01/14/the-politics-of-the-binding-of-isaac/" TargetMode="Externa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7132-BC8F-4D73-8DC9-2B5838319B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Microsoft-Konto</dc:creator>
  <keywords/>
  <dc:description/>
  <lastModifiedBy>Tomer Raudanski</lastModifiedBy>
  <revision>12</revision>
  <lastPrinted>2026-04-12T09:34:00.0000000Z</lastPrinted>
  <dcterms:created xsi:type="dcterms:W3CDTF">2026-04-07T09:38:00.0000000Z</dcterms:created>
  <dcterms:modified xsi:type="dcterms:W3CDTF">2026-04-13T12:57:32.4877135Z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id="nkHy15XK"/&gt;&lt;style id="http://www.zotero.org/styles/chicago-notes-bibliography" locale="en-US" hasBibliography="1" bibliographyStyleHasBeenSet="1"/&gt;&lt;prefs&gt;&lt;pref name="fieldType" value="Field"/&gt;&lt;pr</vt:lpwstr>
  </property>
  <property fmtid="{D5CDD505-2E9C-101B-9397-08002B2CF9AE}" pid="3" name="ZOTERO_PREF_2">
    <vt:lpwstr>ef name="noteType" value="1"/&gt;&lt;/prefs&gt;&lt;/data&gt;</vt:lpwstr>
  </property>
</Properties>
</file>