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2F" w:rsidRDefault="005D0C2F" w:rsidP="002E0863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7D1427" w:rsidRPr="008F10BB" w:rsidRDefault="007D1427" w:rsidP="002E0863">
      <w:pPr>
        <w:pStyle w:val="KeinLeerraum"/>
        <w:rPr>
          <w:sz w:val="24"/>
          <w:szCs w:val="24"/>
        </w:rPr>
      </w:pPr>
      <w:r w:rsidRPr="008F10BB">
        <w:rPr>
          <w:sz w:val="24"/>
          <w:szCs w:val="24"/>
        </w:rPr>
        <w:t xml:space="preserve">Universität Potsdam / Juristische Fakultät                                         </w:t>
      </w:r>
      <w:r w:rsidR="001A4C10">
        <w:rPr>
          <w:sz w:val="24"/>
          <w:szCs w:val="24"/>
        </w:rPr>
        <w:tab/>
      </w:r>
      <w:r w:rsidR="001A4C10">
        <w:rPr>
          <w:sz w:val="24"/>
          <w:szCs w:val="24"/>
        </w:rPr>
        <w:tab/>
        <w:t xml:space="preserve">           </w:t>
      </w:r>
      <w:r w:rsidRPr="008F10BB">
        <w:rPr>
          <w:sz w:val="24"/>
          <w:szCs w:val="24"/>
        </w:rPr>
        <w:t xml:space="preserve"> </w:t>
      </w:r>
      <w:r w:rsidR="008D2119">
        <w:rPr>
          <w:sz w:val="24"/>
          <w:szCs w:val="24"/>
        </w:rPr>
        <w:t>Wintersemester 2021</w:t>
      </w:r>
      <w:r w:rsidRPr="008F10BB">
        <w:rPr>
          <w:sz w:val="24"/>
          <w:szCs w:val="24"/>
        </w:rPr>
        <w:t>/20</w:t>
      </w:r>
      <w:r w:rsidR="008D2119">
        <w:rPr>
          <w:sz w:val="24"/>
          <w:szCs w:val="24"/>
        </w:rPr>
        <w:t>22</w:t>
      </w:r>
    </w:p>
    <w:p w:rsidR="002E0863" w:rsidRPr="008F10BB" w:rsidRDefault="002E0863" w:rsidP="002E0863">
      <w:pPr>
        <w:pStyle w:val="KeinLeerraum"/>
        <w:rPr>
          <w:sz w:val="24"/>
          <w:szCs w:val="24"/>
        </w:rPr>
      </w:pPr>
      <w:r w:rsidRPr="008F10BB">
        <w:rPr>
          <w:sz w:val="24"/>
          <w:szCs w:val="24"/>
        </w:rPr>
        <w:t>Evangelisches Institut für Kirchenrecht</w:t>
      </w:r>
    </w:p>
    <w:p w:rsidR="002E0863" w:rsidRPr="008F10BB" w:rsidRDefault="009E65C1" w:rsidP="002E0863">
      <w:pPr>
        <w:pStyle w:val="KeinLeerraum"/>
        <w:rPr>
          <w:sz w:val="24"/>
          <w:szCs w:val="24"/>
        </w:rPr>
      </w:pPr>
      <w:r>
        <w:rPr>
          <w:i/>
          <w:sz w:val="24"/>
          <w:szCs w:val="24"/>
        </w:rPr>
        <w:t xml:space="preserve">MR </w:t>
      </w:r>
      <w:r w:rsidR="00AB4390" w:rsidRPr="008F10BB">
        <w:rPr>
          <w:i/>
          <w:sz w:val="24"/>
          <w:szCs w:val="24"/>
        </w:rPr>
        <w:t>a</w:t>
      </w:r>
      <w:r w:rsidR="0066704E" w:rsidRPr="008F10BB">
        <w:rPr>
          <w:i/>
          <w:sz w:val="24"/>
          <w:szCs w:val="24"/>
        </w:rPr>
        <w:t xml:space="preserve">pl. Prof. Dr. Norbert Janz / Präs. </w:t>
      </w:r>
      <w:r w:rsidR="004024F6" w:rsidRPr="008F10BB">
        <w:rPr>
          <w:i/>
          <w:sz w:val="24"/>
          <w:szCs w:val="24"/>
        </w:rPr>
        <w:t>a</w:t>
      </w:r>
      <w:r w:rsidR="0066704E" w:rsidRPr="008F10BB">
        <w:rPr>
          <w:i/>
          <w:sz w:val="24"/>
          <w:szCs w:val="24"/>
        </w:rPr>
        <w:t>.D. Ulrich Seelemann</w:t>
      </w:r>
      <w:r w:rsidR="009C79A0" w:rsidRPr="008F10BB">
        <w:rPr>
          <w:sz w:val="24"/>
          <w:szCs w:val="24"/>
        </w:rPr>
        <w:t xml:space="preserve"> </w:t>
      </w:r>
      <w:r w:rsidR="005A14D6" w:rsidRPr="008F10BB">
        <w:rPr>
          <w:sz w:val="24"/>
          <w:szCs w:val="24"/>
        </w:rPr>
        <w:t xml:space="preserve">     </w:t>
      </w:r>
    </w:p>
    <w:p w:rsidR="004F4B61" w:rsidRPr="005A14D6" w:rsidRDefault="005A14D6" w:rsidP="002E0863">
      <w:pPr>
        <w:pStyle w:val="KeinLeerraum"/>
      </w:pPr>
      <w:r>
        <w:t xml:space="preserve">           </w:t>
      </w:r>
      <w:r w:rsidR="00AE2C7B">
        <w:t xml:space="preserve"> </w:t>
      </w:r>
    </w:p>
    <w:p w:rsidR="001D1CFB" w:rsidRDefault="0066704E" w:rsidP="00174784">
      <w:pPr>
        <w:pStyle w:val="KeinLeerraum"/>
        <w:jc w:val="center"/>
        <w:rPr>
          <w:b/>
          <w:sz w:val="28"/>
          <w:szCs w:val="28"/>
        </w:rPr>
      </w:pPr>
      <w:r w:rsidRPr="00174784">
        <w:rPr>
          <w:b/>
          <w:sz w:val="28"/>
          <w:szCs w:val="28"/>
        </w:rPr>
        <w:t xml:space="preserve">Vorlesung </w:t>
      </w:r>
    </w:p>
    <w:p w:rsidR="00A308E4" w:rsidRDefault="001D1CFB" w:rsidP="00174784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1D1CFB">
        <w:rPr>
          <w:b/>
          <w:sz w:val="28"/>
          <w:szCs w:val="28"/>
        </w:rPr>
        <w:t>Freiheit des Glaubens und ihr Schutz in der Rechtsordnung</w:t>
      </w:r>
      <w:r>
        <w:rPr>
          <w:b/>
          <w:sz w:val="28"/>
          <w:szCs w:val="28"/>
        </w:rPr>
        <w:t>“</w:t>
      </w:r>
    </w:p>
    <w:p w:rsidR="001D1CFB" w:rsidRPr="001D1CFB" w:rsidRDefault="001D1CFB" w:rsidP="00174784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Dienstags</w:t>
      </w:r>
      <w:r w:rsidRPr="001D1CFB">
        <w:rPr>
          <w:b/>
          <w:sz w:val="24"/>
          <w:szCs w:val="24"/>
        </w:rPr>
        <w:t>, 16 Uhr (c.t.) bis 18 Uhr, Raum 03.06.S 1</w:t>
      </w:r>
      <w:r>
        <w:rPr>
          <w:b/>
          <w:sz w:val="24"/>
          <w:szCs w:val="24"/>
        </w:rPr>
        <w:t>4 (Komplex Griebnitzsee)</w:t>
      </w:r>
    </w:p>
    <w:p w:rsidR="001D1CFB" w:rsidRPr="001D1CFB" w:rsidRDefault="001D1CFB" w:rsidP="001D1CFB">
      <w:pPr>
        <w:pStyle w:val="KeinLeerraum"/>
        <w:ind w:left="1080"/>
        <w:rPr>
          <w:sz w:val="24"/>
          <w:szCs w:val="24"/>
        </w:rPr>
      </w:pPr>
    </w:p>
    <w:p w:rsidR="001D1CFB" w:rsidRDefault="001D1CFB" w:rsidP="001D1CFB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Pr="001D1CFB">
        <w:rPr>
          <w:sz w:val="24"/>
          <w:szCs w:val="24"/>
        </w:rPr>
        <w:t xml:space="preserve"> Vorlesung </w:t>
      </w:r>
      <w:bookmarkStart w:id="1" w:name="_Hlk78274490"/>
      <w:r w:rsidRPr="001D1CFB">
        <w:rPr>
          <w:i/>
          <w:sz w:val="24"/>
          <w:szCs w:val="24"/>
        </w:rPr>
        <w:t>Freiheit des Glaubens und ihr Schutz in der Rechtsordnung</w:t>
      </w:r>
      <w:r w:rsidRPr="001D1CFB"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führt </w:t>
      </w:r>
      <w:r w:rsidRPr="001D1CFB">
        <w:rPr>
          <w:sz w:val="24"/>
          <w:szCs w:val="24"/>
        </w:rPr>
        <w:t xml:space="preserve">in die Grundlagen der vielfältigen verfassungsrechtlichen Fragen in den Beziehungen zwischen Staat und Religionsgemeinschaften ein. Dabei zeigt sich auch die Aktualität </w:t>
      </w:r>
      <w:r w:rsidR="009E65C1">
        <w:rPr>
          <w:sz w:val="24"/>
          <w:szCs w:val="24"/>
        </w:rPr>
        <w:t>der Fragestellungen</w:t>
      </w:r>
      <w:r w:rsidRPr="001D1CFB">
        <w:rPr>
          <w:sz w:val="24"/>
          <w:szCs w:val="24"/>
        </w:rPr>
        <w:t xml:space="preserve"> und deren Bedeutung für die gesellschaftliche Entwicklung</w:t>
      </w:r>
      <w:r>
        <w:rPr>
          <w:sz w:val="24"/>
          <w:szCs w:val="24"/>
        </w:rPr>
        <w:t>.</w:t>
      </w:r>
    </w:p>
    <w:p w:rsidR="001D1CFB" w:rsidRPr="001D1CFB" w:rsidRDefault="001D1CFB" w:rsidP="00AF2E00">
      <w:pPr>
        <w:pStyle w:val="KeinLeerraum"/>
        <w:jc w:val="both"/>
        <w:rPr>
          <w:sz w:val="24"/>
          <w:szCs w:val="24"/>
        </w:rPr>
      </w:pPr>
      <w:r w:rsidRPr="001D1CFB">
        <w:rPr>
          <w:sz w:val="24"/>
          <w:szCs w:val="24"/>
        </w:rPr>
        <w:t>Neben Studierenden der Rechtswissenschaft sind auch interessierte Studierende anderer Studienfächer, insbesondere der theologischen, Gesellschafts- und politischen Wissenschaften, angesprochen. Das Angebot richtet sich auch an Studierende der EUV, der FU und der HU Berlin.</w:t>
      </w:r>
    </w:p>
    <w:p w:rsidR="001D1CFB" w:rsidRPr="001D1CFB" w:rsidRDefault="001D1CFB" w:rsidP="001D1CFB">
      <w:pPr>
        <w:pStyle w:val="KeinLeerraum"/>
        <w:ind w:left="1080"/>
        <w:rPr>
          <w:sz w:val="24"/>
          <w:szCs w:val="24"/>
        </w:rPr>
      </w:pPr>
    </w:p>
    <w:p w:rsidR="0066704E" w:rsidRDefault="0066704E" w:rsidP="00174784">
      <w:pPr>
        <w:pStyle w:val="KeinLeerraum"/>
        <w:jc w:val="center"/>
        <w:rPr>
          <w:b/>
          <w:sz w:val="28"/>
          <w:szCs w:val="28"/>
        </w:rPr>
      </w:pPr>
      <w:r w:rsidRPr="00174784">
        <w:rPr>
          <w:b/>
          <w:sz w:val="28"/>
          <w:szCs w:val="28"/>
        </w:rPr>
        <w:t>Gliederung</w:t>
      </w:r>
    </w:p>
    <w:p w:rsidR="00174784" w:rsidRPr="001A4C10" w:rsidRDefault="00174784" w:rsidP="00174784">
      <w:pPr>
        <w:pStyle w:val="KeinLeerraum"/>
        <w:jc w:val="center"/>
        <w:rPr>
          <w:b/>
          <w:sz w:val="4"/>
          <w:szCs w:val="4"/>
        </w:rPr>
      </w:pPr>
    </w:p>
    <w:p w:rsidR="0066704E" w:rsidRPr="005A14D6" w:rsidRDefault="0066704E" w:rsidP="0094279E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5A14D6">
        <w:rPr>
          <w:b/>
          <w:sz w:val="24"/>
          <w:szCs w:val="24"/>
        </w:rPr>
        <w:t>Grundlagen</w:t>
      </w:r>
    </w:p>
    <w:p w:rsidR="00A308E4" w:rsidRDefault="00A308E4" w:rsidP="0094279E">
      <w:pPr>
        <w:pStyle w:val="KeinLeerraum"/>
        <w:ind w:left="1080"/>
        <w:rPr>
          <w:sz w:val="24"/>
          <w:szCs w:val="24"/>
        </w:rPr>
      </w:pPr>
      <w:r>
        <w:rPr>
          <w:sz w:val="24"/>
          <w:szCs w:val="24"/>
        </w:rPr>
        <w:t>Gegenstände der Vorlesung, Begriffsklärung</w:t>
      </w:r>
    </w:p>
    <w:p w:rsidR="0066704E" w:rsidRPr="005A14D6" w:rsidRDefault="0066704E" w:rsidP="001A4C10">
      <w:pPr>
        <w:pStyle w:val="KeinLeerraum"/>
        <w:spacing w:after="160"/>
        <w:ind w:left="1077"/>
        <w:rPr>
          <w:sz w:val="24"/>
          <w:szCs w:val="24"/>
        </w:rPr>
      </w:pPr>
      <w:r w:rsidRPr="005A14D6">
        <w:rPr>
          <w:sz w:val="24"/>
          <w:szCs w:val="24"/>
        </w:rPr>
        <w:t>Begriff des Staatskirchen</w:t>
      </w:r>
      <w:r w:rsidR="00A308E4">
        <w:rPr>
          <w:sz w:val="24"/>
          <w:szCs w:val="24"/>
        </w:rPr>
        <w:t>- und Religionsverfassungsrechts</w:t>
      </w:r>
      <w:r w:rsidRPr="005A14D6">
        <w:rPr>
          <w:sz w:val="24"/>
          <w:szCs w:val="24"/>
        </w:rPr>
        <w:t>, historische Entwicklung vor Weimar, Weimarer Kulturkompromiss, Regelung</w:t>
      </w:r>
      <w:r w:rsidR="007D1427">
        <w:rPr>
          <w:sz w:val="24"/>
          <w:szCs w:val="24"/>
        </w:rPr>
        <w:t>en</w:t>
      </w:r>
      <w:r w:rsidRPr="005A14D6">
        <w:rPr>
          <w:sz w:val="24"/>
          <w:szCs w:val="24"/>
        </w:rPr>
        <w:t xml:space="preserve"> des Grundgesetzes</w:t>
      </w:r>
      <w:r w:rsidR="00DC11AB" w:rsidRPr="005A14D6">
        <w:rPr>
          <w:sz w:val="24"/>
          <w:szCs w:val="24"/>
        </w:rPr>
        <w:t xml:space="preserve"> (Präambel, Art. 4 und 140)</w:t>
      </w:r>
      <w:r w:rsidR="007D1427">
        <w:rPr>
          <w:sz w:val="24"/>
          <w:szCs w:val="24"/>
        </w:rPr>
        <w:t>,</w:t>
      </w:r>
      <w:r w:rsidRPr="005A14D6">
        <w:rPr>
          <w:sz w:val="24"/>
          <w:szCs w:val="24"/>
        </w:rPr>
        <w:t xml:space="preserve"> Grundprinzipien des Zusammenspiel</w:t>
      </w:r>
      <w:r w:rsidR="009C79A0" w:rsidRPr="005A14D6">
        <w:rPr>
          <w:sz w:val="24"/>
          <w:szCs w:val="24"/>
        </w:rPr>
        <w:t xml:space="preserve">s zwischen Staat und Kirche bzw. </w:t>
      </w:r>
      <w:r w:rsidRPr="005A14D6">
        <w:rPr>
          <w:sz w:val="24"/>
          <w:szCs w:val="24"/>
        </w:rPr>
        <w:t>Religionsgemeinschaften</w:t>
      </w:r>
      <w:r w:rsidR="00AE2C7B">
        <w:rPr>
          <w:sz w:val="24"/>
          <w:szCs w:val="24"/>
        </w:rPr>
        <w:t>,</w:t>
      </w:r>
      <w:r w:rsidR="00F75DE3" w:rsidRPr="005A14D6">
        <w:rPr>
          <w:sz w:val="24"/>
          <w:szCs w:val="24"/>
        </w:rPr>
        <w:t xml:space="preserve"> Neutralitätspflicht des Staates (Begriff der „fördernden Neutralität“)</w:t>
      </w:r>
      <w:r w:rsidR="00AE2C7B">
        <w:rPr>
          <w:sz w:val="24"/>
          <w:szCs w:val="24"/>
        </w:rPr>
        <w:t xml:space="preserve">, </w:t>
      </w:r>
      <w:r w:rsidR="00686900" w:rsidRPr="005A14D6">
        <w:rPr>
          <w:sz w:val="24"/>
          <w:szCs w:val="24"/>
        </w:rPr>
        <w:t>Rechtsquellen</w:t>
      </w:r>
    </w:p>
    <w:p w:rsidR="0066704E" w:rsidRPr="005A14D6" w:rsidRDefault="0066704E" w:rsidP="0066704E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5A14D6">
        <w:rPr>
          <w:b/>
          <w:sz w:val="24"/>
          <w:szCs w:val="24"/>
        </w:rPr>
        <w:t>Religionsfreiheit</w:t>
      </w:r>
    </w:p>
    <w:p w:rsidR="00034681" w:rsidRDefault="00C5384E" w:rsidP="00C5384E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Grundlagen (Menschenrechte</w:t>
      </w:r>
      <w:r w:rsidR="00695583">
        <w:rPr>
          <w:sz w:val="24"/>
          <w:szCs w:val="24"/>
        </w:rPr>
        <w:t xml:space="preserve">, Menschenbild des GG, Art. 4). </w:t>
      </w:r>
      <w:r w:rsidR="007B197E">
        <w:rPr>
          <w:sz w:val="24"/>
          <w:szCs w:val="24"/>
        </w:rPr>
        <w:t xml:space="preserve">Grundlagen im supranationalen und Völkerrecht. </w:t>
      </w:r>
      <w:r w:rsidR="00A308E4">
        <w:rPr>
          <w:sz w:val="24"/>
          <w:szCs w:val="24"/>
        </w:rPr>
        <w:t xml:space="preserve">Individuelle und kollektive Religionsfreiheit. </w:t>
      </w:r>
      <w:r w:rsidR="00034681">
        <w:rPr>
          <w:sz w:val="24"/>
          <w:szCs w:val="24"/>
        </w:rPr>
        <w:t>Historischer Exkurs: Entwicklung seit der Reformation in Deutschland, (cuius regio eius religio, Toleranzedikte, Art. 137 I WRV), Beispiele anderer Staaten)</w:t>
      </w:r>
    </w:p>
    <w:p w:rsidR="00DC11AB" w:rsidRPr="001A4C10" w:rsidRDefault="00695583" w:rsidP="001A4C10">
      <w:pPr>
        <w:pStyle w:val="KeinLeerraum"/>
        <w:numPr>
          <w:ilvl w:val="0"/>
          <w:numId w:val="3"/>
        </w:numPr>
        <w:spacing w:after="160"/>
        <w:ind w:left="1423" w:hanging="357"/>
        <w:rPr>
          <w:sz w:val="24"/>
          <w:szCs w:val="24"/>
        </w:rPr>
      </w:pPr>
      <w:r>
        <w:rPr>
          <w:sz w:val="24"/>
          <w:szCs w:val="24"/>
        </w:rPr>
        <w:t xml:space="preserve">Inhalte: </w:t>
      </w:r>
      <w:r w:rsidR="0066704E" w:rsidRPr="005A14D6">
        <w:rPr>
          <w:sz w:val="24"/>
          <w:szCs w:val="24"/>
        </w:rPr>
        <w:t xml:space="preserve">Glaubensfreiheit des </w:t>
      </w:r>
      <w:r w:rsidR="00034681">
        <w:rPr>
          <w:sz w:val="24"/>
          <w:szCs w:val="24"/>
        </w:rPr>
        <w:t>E</w:t>
      </w:r>
      <w:r w:rsidR="0066704E" w:rsidRPr="005A14D6">
        <w:rPr>
          <w:sz w:val="24"/>
          <w:szCs w:val="24"/>
        </w:rPr>
        <w:t>inzelnen, positive und negative Religionsfreiheit</w:t>
      </w:r>
      <w:r w:rsidR="00DC11AB" w:rsidRPr="005A14D6">
        <w:rPr>
          <w:sz w:val="24"/>
          <w:szCs w:val="24"/>
        </w:rPr>
        <w:t xml:space="preserve">, </w:t>
      </w:r>
      <w:r w:rsidR="00034681">
        <w:rPr>
          <w:sz w:val="24"/>
          <w:szCs w:val="24"/>
        </w:rPr>
        <w:t>Glaubens- und Glaubensausübungsfreiheit</w:t>
      </w:r>
      <w:r w:rsidR="00034681" w:rsidRPr="00034681">
        <w:rPr>
          <w:sz w:val="24"/>
          <w:szCs w:val="24"/>
        </w:rPr>
        <w:t>, Freiheit der Bildung von Religionsgemeinschaften</w:t>
      </w:r>
      <w:r w:rsidR="00034681">
        <w:rPr>
          <w:sz w:val="24"/>
          <w:szCs w:val="24"/>
        </w:rPr>
        <w:t>,</w:t>
      </w:r>
      <w:r w:rsidR="008F6AEB">
        <w:rPr>
          <w:sz w:val="24"/>
          <w:szCs w:val="24"/>
        </w:rPr>
        <w:t xml:space="preserve"> Freiheit des Religionswechsels,</w:t>
      </w:r>
      <w:r w:rsidR="00034681" w:rsidRPr="00034681">
        <w:rPr>
          <w:sz w:val="24"/>
          <w:szCs w:val="24"/>
        </w:rPr>
        <w:t xml:space="preserve"> </w:t>
      </w:r>
      <w:r w:rsidR="00DC11AB" w:rsidRPr="005A14D6">
        <w:rPr>
          <w:sz w:val="24"/>
          <w:szCs w:val="24"/>
        </w:rPr>
        <w:t>Rechtsfolgen in der Gesellschaft und dem Staat gegenüber (Art. 3 II GG, AGG)</w:t>
      </w:r>
    </w:p>
    <w:p w:rsidR="00DC11AB" w:rsidRPr="005A14D6" w:rsidRDefault="00DC11AB" w:rsidP="00DC11AB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5A14D6">
        <w:rPr>
          <w:b/>
          <w:sz w:val="24"/>
          <w:szCs w:val="24"/>
        </w:rPr>
        <w:t>Das Selbstbestimmungsrecht der Religionsgemeinschaften</w:t>
      </w:r>
      <w:r w:rsidR="009B727F" w:rsidRPr="005A14D6">
        <w:rPr>
          <w:b/>
          <w:sz w:val="24"/>
          <w:szCs w:val="24"/>
        </w:rPr>
        <w:t xml:space="preserve"> und seine Grenzen</w:t>
      </w:r>
    </w:p>
    <w:p w:rsidR="00F75DE3" w:rsidRPr="005A14D6" w:rsidRDefault="00DC11AB" w:rsidP="001A4C10">
      <w:pPr>
        <w:pStyle w:val="KeinLeerraum"/>
        <w:spacing w:after="160"/>
        <w:ind w:left="1077"/>
        <w:rPr>
          <w:sz w:val="24"/>
          <w:szCs w:val="24"/>
        </w:rPr>
      </w:pPr>
      <w:r w:rsidRPr="005A14D6">
        <w:rPr>
          <w:sz w:val="24"/>
          <w:szCs w:val="24"/>
        </w:rPr>
        <w:t>Begriff der Religionsgemeinschaft („Religionsgesellschaft“</w:t>
      </w:r>
      <w:r w:rsidR="007D1427">
        <w:rPr>
          <w:sz w:val="24"/>
          <w:szCs w:val="24"/>
        </w:rPr>
        <w:t xml:space="preserve">, dazu </w:t>
      </w:r>
      <w:r w:rsidRPr="005A14D6">
        <w:rPr>
          <w:sz w:val="24"/>
          <w:szCs w:val="24"/>
        </w:rPr>
        <w:t xml:space="preserve">Pastafari-Entscheidung), </w:t>
      </w:r>
      <w:r w:rsidR="009B727F" w:rsidRPr="005A14D6">
        <w:rPr>
          <w:sz w:val="24"/>
          <w:szCs w:val="24"/>
        </w:rPr>
        <w:t>R</w:t>
      </w:r>
      <w:r w:rsidR="00F75DE3" w:rsidRPr="005A14D6">
        <w:rPr>
          <w:sz w:val="24"/>
          <w:szCs w:val="24"/>
        </w:rPr>
        <w:t xml:space="preserve">eligions- und Weltanschauungsgemeinschaften, </w:t>
      </w:r>
      <w:r w:rsidRPr="005A14D6">
        <w:rPr>
          <w:sz w:val="24"/>
          <w:szCs w:val="24"/>
        </w:rPr>
        <w:t>die Regelung des Art 137 III WRV, Selbstorganisationsrecht, Selbstdefinitionsrecht (wer und was ist Kirche, was ist kirchliches Handeln, was fiskalisches Hilfsgeschäft</w:t>
      </w:r>
      <w:r w:rsidR="009C79A0" w:rsidRPr="005A14D6">
        <w:rPr>
          <w:sz w:val="24"/>
          <w:szCs w:val="24"/>
        </w:rPr>
        <w:t>?</w:t>
      </w:r>
      <w:r w:rsidRPr="005A14D6">
        <w:rPr>
          <w:sz w:val="24"/>
          <w:szCs w:val="24"/>
        </w:rPr>
        <w:t>)</w:t>
      </w:r>
      <w:r w:rsidR="00AD62E7" w:rsidRPr="005A14D6">
        <w:rPr>
          <w:sz w:val="24"/>
          <w:szCs w:val="24"/>
        </w:rPr>
        <w:t xml:space="preserve">, </w:t>
      </w:r>
      <w:r w:rsidR="00695583">
        <w:rPr>
          <w:sz w:val="24"/>
          <w:szCs w:val="24"/>
        </w:rPr>
        <w:t xml:space="preserve">Pandemie-auswirkungen, </w:t>
      </w:r>
      <w:r w:rsidR="00AD62E7" w:rsidRPr="005A14D6">
        <w:rPr>
          <w:sz w:val="24"/>
          <w:szCs w:val="24"/>
        </w:rPr>
        <w:t>Ämterverleihungsrecht</w:t>
      </w:r>
      <w:r w:rsidR="009B727F" w:rsidRPr="005A14D6">
        <w:rPr>
          <w:sz w:val="24"/>
          <w:szCs w:val="24"/>
        </w:rPr>
        <w:t xml:space="preserve"> </w:t>
      </w:r>
      <w:r w:rsidR="00F75DE3" w:rsidRPr="005A14D6">
        <w:rPr>
          <w:sz w:val="24"/>
          <w:szCs w:val="24"/>
        </w:rPr>
        <w:t>„innerhalb der Schranken der für alle geltenden Gesetze“, AGG, Recht der EU</w:t>
      </w:r>
    </w:p>
    <w:p w:rsidR="00A308E4" w:rsidRPr="005D0C2F" w:rsidRDefault="00A308E4" w:rsidP="00A308E4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5D0C2F">
        <w:rPr>
          <w:b/>
          <w:sz w:val="24"/>
          <w:szCs w:val="24"/>
        </w:rPr>
        <w:t>Schutz der Glaubensfreiheit im Privatrecht</w:t>
      </w:r>
    </w:p>
    <w:p w:rsidR="00A308E4" w:rsidRDefault="00A308E4" w:rsidP="00A308E4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Diskriminierungsverbot, AGG, </w:t>
      </w:r>
      <w:r w:rsidR="008D2119">
        <w:rPr>
          <w:sz w:val="24"/>
          <w:szCs w:val="24"/>
        </w:rPr>
        <w:t xml:space="preserve">Grenzen der Privatautonomie durch Schutz der Glaubensfreiheit, </w:t>
      </w:r>
      <w:r>
        <w:rPr>
          <w:sz w:val="24"/>
          <w:szCs w:val="24"/>
        </w:rPr>
        <w:t>strafrechtlicher Schutz der Religionsausübung</w:t>
      </w:r>
      <w:r w:rsidR="00C53096">
        <w:rPr>
          <w:sz w:val="24"/>
          <w:szCs w:val="24"/>
        </w:rPr>
        <w:t>?</w:t>
      </w:r>
    </w:p>
    <w:p w:rsidR="008D2119" w:rsidRPr="005D0C2F" w:rsidRDefault="008D2119" w:rsidP="005D0C2F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5D0C2F">
        <w:rPr>
          <w:b/>
          <w:sz w:val="24"/>
          <w:szCs w:val="24"/>
        </w:rPr>
        <w:t xml:space="preserve">Selbstbestimmungsrecht und individuelle Glaubensfreiheit, kirchliches Dienst- und Arbeitsrecht </w:t>
      </w:r>
      <w:r w:rsidR="001A4C10" w:rsidRPr="005D0C2F">
        <w:rPr>
          <w:b/>
          <w:sz w:val="24"/>
          <w:szCs w:val="24"/>
        </w:rPr>
        <w:br/>
      </w:r>
      <w:r w:rsidRPr="005D0C2F">
        <w:rPr>
          <w:sz w:val="24"/>
          <w:szCs w:val="24"/>
        </w:rPr>
        <w:t>Begründung eines eigenständigen Dienst- und Arbeitsrechtes, Besonderheiten kirchlichen Arbeitsrechtes, Loyalitätspflichten und Tendenzschutz vs. Glaubensfreiheit des Einzelnen, Entwicklung der Rechtsprechung auf nationaler und EU-Ebene, Grundsätze und Einzelfälle</w:t>
      </w:r>
    </w:p>
    <w:p w:rsidR="005D0C2F" w:rsidRPr="004075F4" w:rsidRDefault="005D0C2F" w:rsidP="005D0C2F">
      <w:pPr>
        <w:pStyle w:val="KeinLeerraum"/>
        <w:spacing w:after="160"/>
        <w:ind w:left="1077"/>
        <w:rPr>
          <w:sz w:val="24"/>
          <w:szCs w:val="24"/>
        </w:rPr>
      </w:pPr>
    </w:p>
    <w:p w:rsidR="008D2119" w:rsidRPr="005D0C2F" w:rsidRDefault="008D2119" w:rsidP="008D2119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5D0C2F">
        <w:rPr>
          <w:b/>
          <w:sz w:val="24"/>
          <w:szCs w:val="24"/>
        </w:rPr>
        <w:t xml:space="preserve">Glaubensfreiheit </w:t>
      </w:r>
      <w:r w:rsidR="005D0C2F">
        <w:rPr>
          <w:b/>
          <w:sz w:val="24"/>
          <w:szCs w:val="24"/>
        </w:rPr>
        <w:t>versus Gemeinwohl</w:t>
      </w:r>
    </w:p>
    <w:p w:rsidR="00174784" w:rsidRPr="005D0C2F" w:rsidRDefault="008D2119" w:rsidP="005D0C2F">
      <w:pPr>
        <w:pStyle w:val="KeinLeerraum"/>
        <w:spacing w:after="160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Kindeswohlgefährdung in Sekten, Corona-Regelungen, </w:t>
      </w:r>
      <w:r w:rsidR="00B9023E">
        <w:rPr>
          <w:sz w:val="24"/>
          <w:szCs w:val="24"/>
        </w:rPr>
        <w:t xml:space="preserve">religiöse „Versammlungen“ und Art. 8 GG, </w:t>
      </w:r>
      <w:r w:rsidR="005D0C2F">
        <w:rPr>
          <w:sz w:val="24"/>
          <w:szCs w:val="24"/>
        </w:rPr>
        <w:t>Homeschooling</w:t>
      </w:r>
    </w:p>
    <w:p w:rsidR="00F75DE3" w:rsidRPr="005A14D6" w:rsidRDefault="00F75DE3" w:rsidP="008D2119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5A14D6">
        <w:rPr>
          <w:b/>
          <w:sz w:val="24"/>
          <w:szCs w:val="24"/>
        </w:rPr>
        <w:t>Der Körperschaftsstatus für Religions- und Weltanschauungsgemeinschaften</w:t>
      </w:r>
    </w:p>
    <w:p w:rsidR="00667E41" w:rsidRPr="005A14D6" w:rsidRDefault="00B758D0" w:rsidP="005D0C2F">
      <w:pPr>
        <w:pStyle w:val="KeinLeerraum"/>
        <w:spacing w:after="160"/>
        <w:ind w:left="1077"/>
        <w:rPr>
          <w:sz w:val="24"/>
          <w:szCs w:val="24"/>
        </w:rPr>
      </w:pPr>
      <w:r w:rsidRPr="005A14D6">
        <w:rPr>
          <w:sz w:val="24"/>
          <w:szCs w:val="24"/>
        </w:rPr>
        <w:t>Rechtsformen von Religionsg</w:t>
      </w:r>
      <w:r w:rsidR="00AD62E7" w:rsidRPr="005A14D6">
        <w:rPr>
          <w:sz w:val="24"/>
          <w:szCs w:val="24"/>
        </w:rPr>
        <w:t xml:space="preserve">emeinschaften, Bedeutung </w:t>
      </w:r>
      <w:r w:rsidR="00871053">
        <w:rPr>
          <w:sz w:val="24"/>
          <w:szCs w:val="24"/>
        </w:rPr>
        <w:t xml:space="preserve">des Status einer </w:t>
      </w:r>
      <w:r w:rsidR="00AD62E7" w:rsidRPr="005A14D6">
        <w:rPr>
          <w:sz w:val="24"/>
          <w:szCs w:val="24"/>
        </w:rPr>
        <w:t>Körpersc</w:t>
      </w:r>
      <w:r w:rsidR="00871053">
        <w:rPr>
          <w:sz w:val="24"/>
          <w:szCs w:val="24"/>
        </w:rPr>
        <w:t>haft des</w:t>
      </w:r>
      <w:r w:rsidR="00AD62E7" w:rsidRPr="005A14D6">
        <w:rPr>
          <w:sz w:val="24"/>
          <w:szCs w:val="24"/>
        </w:rPr>
        <w:t xml:space="preserve"> öffentlichen Rechts</w:t>
      </w:r>
      <w:r w:rsidRPr="005A14D6">
        <w:rPr>
          <w:sz w:val="24"/>
          <w:szCs w:val="24"/>
        </w:rPr>
        <w:t>, Erlangung</w:t>
      </w:r>
      <w:r w:rsidR="00871053">
        <w:rPr>
          <w:sz w:val="24"/>
          <w:szCs w:val="24"/>
        </w:rPr>
        <w:t xml:space="preserve"> und</w:t>
      </w:r>
      <w:r w:rsidR="00AD62E7" w:rsidRPr="005A14D6">
        <w:rPr>
          <w:sz w:val="24"/>
          <w:szCs w:val="24"/>
        </w:rPr>
        <w:t xml:space="preserve"> Verlust des Status,</w:t>
      </w:r>
      <w:r w:rsidRPr="005A14D6">
        <w:rPr>
          <w:sz w:val="24"/>
          <w:szCs w:val="24"/>
        </w:rPr>
        <w:t xml:space="preserve"> Rechtsfolgen des Status</w:t>
      </w:r>
      <w:r w:rsidR="00AD62E7" w:rsidRPr="005A14D6">
        <w:rPr>
          <w:sz w:val="24"/>
          <w:szCs w:val="24"/>
        </w:rPr>
        <w:t>, dabei i</w:t>
      </w:r>
      <w:r w:rsidR="00871053">
        <w:rPr>
          <w:sz w:val="24"/>
          <w:szCs w:val="24"/>
        </w:rPr>
        <w:t>nsbesondere das</w:t>
      </w:r>
      <w:r w:rsidRPr="005A14D6">
        <w:rPr>
          <w:sz w:val="24"/>
          <w:szCs w:val="24"/>
        </w:rPr>
        <w:t xml:space="preserve"> Steuererhebungsrecht</w:t>
      </w:r>
      <w:r w:rsidR="009B727F" w:rsidRPr="005A14D6">
        <w:rPr>
          <w:sz w:val="24"/>
          <w:szCs w:val="24"/>
        </w:rPr>
        <w:t>:</w:t>
      </w:r>
      <w:r w:rsidR="00AD62E7" w:rsidRPr="005A14D6">
        <w:rPr>
          <w:sz w:val="24"/>
          <w:szCs w:val="24"/>
        </w:rPr>
        <w:t xml:space="preserve"> </w:t>
      </w:r>
      <w:r w:rsidR="004024F6" w:rsidRPr="005A14D6">
        <w:rPr>
          <w:sz w:val="24"/>
          <w:szCs w:val="24"/>
        </w:rPr>
        <w:t>Inhalt un</w:t>
      </w:r>
      <w:r w:rsidR="00AD62E7" w:rsidRPr="005A14D6">
        <w:rPr>
          <w:sz w:val="24"/>
          <w:szCs w:val="24"/>
        </w:rPr>
        <w:t>d Bedeutung, Begriff der Steuer</w:t>
      </w:r>
      <w:r w:rsidR="004024F6" w:rsidRPr="005A14D6">
        <w:rPr>
          <w:sz w:val="24"/>
          <w:szCs w:val="24"/>
        </w:rPr>
        <w:t>, Unterschied zu Beiträgen, Kirchensteuereinzug</w:t>
      </w:r>
      <w:r w:rsidR="00AD62E7" w:rsidRPr="005A14D6">
        <w:rPr>
          <w:sz w:val="24"/>
          <w:szCs w:val="24"/>
        </w:rPr>
        <w:t>, Rechtsfolgen für Kirchen, Rechtsprechung</w:t>
      </w:r>
      <w:r w:rsidR="004024F6" w:rsidRPr="005A14D6">
        <w:rPr>
          <w:sz w:val="24"/>
          <w:szCs w:val="24"/>
        </w:rPr>
        <w:t xml:space="preserve"> zur Konkursunfähigkeit der Kirche</w:t>
      </w:r>
    </w:p>
    <w:p w:rsidR="00667E41" w:rsidRPr="005A14D6" w:rsidRDefault="00C53096" w:rsidP="008D2119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Förderung der Religionsgemeinschaften durch </w:t>
      </w:r>
      <w:r w:rsidR="00667E41" w:rsidRPr="005A14D6">
        <w:rPr>
          <w:b/>
          <w:sz w:val="24"/>
          <w:szCs w:val="24"/>
        </w:rPr>
        <w:t>Staatsleistungen</w:t>
      </w:r>
    </w:p>
    <w:p w:rsidR="009C79A0" w:rsidRPr="005A14D6" w:rsidRDefault="0094279E" w:rsidP="005D0C2F">
      <w:pPr>
        <w:pStyle w:val="KeinLeerraum"/>
        <w:spacing w:after="160"/>
        <w:ind w:left="1077"/>
        <w:rPr>
          <w:sz w:val="24"/>
          <w:szCs w:val="24"/>
        </w:rPr>
      </w:pPr>
      <w:r w:rsidRPr="005A14D6">
        <w:rPr>
          <w:sz w:val="24"/>
          <w:szCs w:val="24"/>
        </w:rPr>
        <w:t>Regelung des Art. 138</w:t>
      </w:r>
      <w:r w:rsidR="00667E41" w:rsidRPr="005A14D6">
        <w:rPr>
          <w:sz w:val="24"/>
          <w:szCs w:val="24"/>
        </w:rPr>
        <w:t xml:space="preserve"> WRV, historische Be</w:t>
      </w:r>
      <w:r w:rsidR="00AD62E7" w:rsidRPr="005A14D6">
        <w:rPr>
          <w:sz w:val="24"/>
          <w:szCs w:val="24"/>
        </w:rPr>
        <w:t>gründung der Staatsleistungen, A</w:t>
      </w:r>
      <w:r w:rsidR="00667E41" w:rsidRPr="005A14D6">
        <w:rPr>
          <w:sz w:val="24"/>
          <w:szCs w:val="24"/>
        </w:rPr>
        <w:t>rten von Staatsleistungen (Zuschüs</w:t>
      </w:r>
      <w:r w:rsidR="00AD62E7" w:rsidRPr="005A14D6">
        <w:rPr>
          <w:sz w:val="24"/>
          <w:szCs w:val="24"/>
        </w:rPr>
        <w:t xml:space="preserve">se, Baulasten, Staatspatronate), </w:t>
      </w:r>
      <w:r w:rsidR="00667E41" w:rsidRPr="005A14D6">
        <w:rPr>
          <w:sz w:val="24"/>
          <w:szCs w:val="24"/>
        </w:rPr>
        <w:t>Rechtsnatur, Novation durch Staatskirchenverträge, neue Begründungen, Abgrenzung zu Leistungsent</w:t>
      </w:r>
      <w:r w:rsidR="00AD62E7" w:rsidRPr="005A14D6">
        <w:rPr>
          <w:sz w:val="24"/>
          <w:szCs w:val="24"/>
        </w:rPr>
        <w:t>gelten, Fördermitteln, Ablösung</w:t>
      </w:r>
      <w:r w:rsidR="00525901">
        <w:rPr>
          <w:sz w:val="24"/>
          <w:szCs w:val="24"/>
        </w:rPr>
        <w:t>sgebot für welche Art?</w:t>
      </w:r>
      <w:r w:rsidR="00AD62E7" w:rsidRPr="005A14D6">
        <w:rPr>
          <w:sz w:val="24"/>
          <w:szCs w:val="24"/>
        </w:rPr>
        <w:t xml:space="preserve"> realistisch?</w:t>
      </w:r>
    </w:p>
    <w:p w:rsidR="00B9023E" w:rsidRPr="005A14D6" w:rsidRDefault="00B9023E" w:rsidP="00B9023E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Schutz der Glaubensfreiheit und </w:t>
      </w:r>
      <w:r w:rsidRPr="005A14D6">
        <w:rPr>
          <w:b/>
          <w:sz w:val="24"/>
          <w:szCs w:val="24"/>
        </w:rPr>
        <w:t>Gemeinsame Aufgaben</w:t>
      </w:r>
    </w:p>
    <w:p w:rsidR="00B9023E" w:rsidRPr="005A14D6" w:rsidRDefault="00B9023E" w:rsidP="00B9023E">
      <w:pPr>
        <w:pStyle w:val="KeinLeerraum"/>
        <w:spacing w:after="160"/>
        <w:ind w:left="1077"/>
        <w:rPr>
          <w:sz w:val="24"/>
          <w:szCs w:val="24"/>
        </w:rPr>
      </w:pPr>
      <w:r>
        <w:rPr>
          <w:sz w:val="24"/>
          <w:szCs w:val="24"/>
        </w:rPr>
        <w:t>Seelsorge für besondere Gruppen</w:t>
      </w:r>
      <w:r w:rsidRPr="005A14D6">
        <w:rPr>
          <w:sz w:val="24"/>
          <w:szCs w:val="24"/>
        </w:rPr>
        <w:t>, Krisenbewältigung, Zeugnisverweigerungsrecht Geistlicher, Beicht- und Seelsorgegeheimnis, Kirche am „Sozialmarkt“:</w:t>
      </w:r>
      <w:r>
        <w:rPr>
          <w:sz w:val="24"/>
          <w:szCs w:val="24"/>
        </w:rPr>
        <w:t xml:space="preserve"> </w:t>
      </w:r>
      <w:r w:rsidRPr="005A14D6">
        <w:rPr>
          <w:sz w:val="24"/>
          <w:szCs w:val="24"/>
        </w:rPr>
        <w:t>Staatskirchenrechtliche Stellung diakonischer Träger und Verbände, Begriff der Diakonie, historische Entwicklung, Diakonie und „Sozialmarkt“, Subsidiaritätsprinzip im Sozialmarkt, besondere Herausforderungen durch Eingliederung kirchlichen Handelns in staatliche Hilfesysteme</w:t>
      </w:r>
    </w:p>
    <w:p w:rsidR="004024F6" w:rsidRPr="005A14D6" w:rsidRDefault="004024F6" w:rsidP="008D2119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5A14D6">
        <w:rPr>
          <w:b/>
          <w:sz w:val="24"/>
          <w:szCs w:val="24"/>
        </w:rPr>
        <w:t>Religionsunterricht und Religionsgemeinschaften</w:t>
      </w:r>
      <w:r w:rsidR="009B727F" w:rsidRPr="005A14D6">
        <w:rPr>
          <w:b/>
          <w:sz w:val="24"/>
          <w:szCs w:val="24"/>
        </w:rPr>
        <w:t xml:space="preserve"> </w:t>
      </w:r>
    </w:p>
    <w:p w:rsidR="004024F6" w:rsidRPr="005A14D6" w:rsidRDefault="004024F6" w:rsidP="005D0C2F">
      <w:pPr>
        <w:pStyle w:val="KeinLeerraum"/>
        <w:spacing w:after="160"/>
        <w:ind w:left="1077"/>
        <w:rPr>
          <w:sz w:val="24"/>
          <w:szCs w:val="24"/>
        </w:rPr>
      </w:pPr>
      <w:r w:rsidRPr="005A14D6">
        <w:rPr>
          <w:sz w:val="24"/>
          <w:szCs w:val="24"/>
        </w:rPr>
        <w:t xml:space="preserve">Art. 7 </w:t>
      </w:r>
      <w:r w:rsidR="00AD62E7" w:rsidRPr="005A14D6">
        <w:rPr>
          <w:sz w:val="24"/>
          <w:szCs w:val="24"/>
        </w:rPr>
        <w:t>Abs. 3</w:t>
      </w:r>
      <w:r w:rsidRPr="005A14D6">
        <w:rPr>
          <w:sz w:val="24"/>
          <w:szCs w:val="24"/>
        </w:rPr>
        <w:t xml:space="preserve"> GG, historische Einordnung, „Bremer Klausel“</w:t>
      </w:r>
      <w:r w:rsidR="00AD62E7" w:rsidRPr="005A14D6">
        <w:rPr>
          <w:sz w:val="24"/>
          <w:szCs w:val="24"/>
        </w:rPr>
        <w:t xml:space="preserve"> des Art. 141 GG, Religionsunterricht</w:t>
      </w:r>
      <w:r w:rsidRPr="005A14D6">
        <w:rPr>
          <w:sz w:val="24"/>
          <w:szCs w:val="24"/>
        </w:rPr>
        <w:t xml:space="preserve"> und Ethik</w:t>
      </w:r>
      <w:r w:rsidR="00AD62E7" w:rsidRPr="005A14D6">
        <w:rPr>
          <w:sz w:val="24"/>
          <w:szCs w:val="24"/>
        </w:rPr>
        <w:t>unterricht, Religionsunterricht</w:t>
      </w:r>
      <w:r w:rsidRPr="005A14D6">
        <w:rPr>
          <w:sz w:val="24"/>
          <w:szCs w:val="24"/>
        </w:rPr>
        <w:t xml:space="preserve"> und Neutralitätspflicht des </w:t>
      </w:r>
      <w:r w:rsidR="00AD62E7" w:rsidRPr="005A14D6">
        <w:rPr>
          <w:sz w:val="24"/>
          <w:szCs w:val="24"/>
        </w:rPr>
        <w:t>Staates, Probleme eines islamischen Religionsunterricht</w:t>
      </w:r>
      <w:r w:rsidR="00871053">
        <w:rPr>
          <w:sz w:val="24"/>
          <w:szCs w:val="24"/>
        </w:rPr>
        <w:t>s</w:t>
      </w:r>
    </w:p>
    <w:p w:rsidR="009B727F" w:rsidRPr="005A14D6" w:rsidRDefault="009B727F" w:rsidP="008D2119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5A14D6">
        <w:rPr>
          <w:b/>
          <w:sz w:val="24"/>
          <w:szCs w:val="24"/>
        </w:rPr>
        <w:t>Abschlussblock:</w:t>
      </w:r>
    </w:p>
    <w:p w:rsidR="004C4559" w:rsidRPr="005A14D6" w:rsidRDefault="008D3365" w:rsidP="009B727F">
      <w:pPr>
        <w:pStyle w:val="KeinLeerraum"/>
        <w:numPr>
          <w:ilvl w:val="0"/>
          <w:numId w:val="2"/>
        </w:numPr>
        <w:rPr>
          <w:b/>
          <w:sz w:val="24"/>
          <w:szCs w:val="24"/>
        </w:rPr>
      </w:pPr>
      <w:r w:rsidRPr="005A14D6">
        <w:rPr>
          <w:b/>
          <w:sz w:val="24"/>
          <w:szCs w:val="24"/>
        </w:rPr>
        <w:t>Staatskirchenrechtliche Fragen im Zusammenhang mit Migration und Asylrecht</w:t>
      </w:r>
    </w:p>
    <w:p w:rsidR="008D3365" w:rsidRPr="005A14D6" w:rsidRDefault="008D3365" w:rsidP="005D0C2F">
      <w:pPr>
        <w:pStyle w:val="KeinLeerraum"/>
        <w:spacing w:after="160"/>
        <w:ind w:left="1077"/>
        <w:rPr>
          <w:sz w:val="24"/>
          <w:szCs w:val="24"/>
        </w:rPr>
      </w:pPr>
      <w:r w:rsidRPr="005A14D6">
        <w:rPr>
          <w:sz w:val="24"/>
          <w:szCs w:val="24"/>
        </w:rPr>
        <w:t>„Kirchenasyl“, Religion als Verfolgungsgrund, Religion</w:t>
      </w:r>
      <w:r w:rsidR="00AD62E7" w:rsidRPr="005A14D6">
        <w:rPr>
          <w:sz w:val="24"/>
          <w:szCs w:val="24"/>
        </w:rPr>
        <w:t>swechsel als Abschiebehindernis</w:t>
      </w:r>
      <w:r w:rsidRPr="005A14D6">
        <w:rPr>
          <w:sz w:val="24"/>
          <w:szCs w:val="24"/>
        </w:rPr>
        <w:t>, Prüfungsrecht des Staates über Glaubensfragen im Asylverfahren</w:t>
      </w:r>
    </w:p>
    <w:p w:rsidR="008D3365" w:rsidRPr="005A14D6" w:rsidRDefault="008D3365" w:rsidP="009B727F">
      <w:pPr>
        <w:pStyle w:val="KeinLeerraum"/>
        <w:numPr>
          <w:ilvl w:val="0"/>
          <w:numId w:val="2"/>
        </w:numPr>
        <w:rPr>
          <w:b/>
          <w:sz w:val="24"/>
          <w:szCs w:val="24"/>
        </w:rPr>
      </w:pPr>
      <w:r w:rsidRPr="005A14D6">
        <w:rPr>
          <w:b/>
          <w:sz w:val="24"/>
          <w:szCs w:val="24"/>
        </w:rPr>
        <w:t>Sonntagsschutz</w:t>
      </w:r>
    </w:p>
    <w:p w:rsidR="00C53096" w:rsidRDefault="008D3365" w:rsidP="005D0C2F">
      <w:pPr>
        <w:pStyle w:val="KeinLeerraum"/>
        <w:spacing w:after="160"/>
        <w:ind w:left="1077"/>
        <w:rPr>
          <w:sz w:val="24"/>
          <w:szCs w:val="24"/>
        </w:rPr>
      </w:pPr>
      <w:r w:rsidRPr="005A14D6">
        <w:rPr>
          <w:sz w:val="24"/>
          <w:szCs w:val="24"/>
        </w:rPr>
        <w:t>Sonntagsschutz als Verfassungsnorm, Art. 4 GG und 139 WRV, Inhalt des Sonntagss</w:t>
      </w:r>
      <w:r w:rsidR="00AD62E7" w:rsidRPr="005A14D6">
        <w:rPr>
          <w:sz w:val="24"/>
          <w:szCs w:val="24"/>
        </w:rPr>
        <w:t>chutzes, insbesondere Schutzgut</w:t>
      </w:r>
      <w:r w:rsidR="00871053">
        <w:rPr>
          <w:sz w:val="24"/>
          <w:szCs w:val="24"/>
        </w:rPr>
        <w:t xml:space="preserve"> und </w:t>
      </w:r>
      <w:r w:rsidR="00AD62E7" w:rsidRPr="005A14D6">
        <w:rPr>
          <w:sz w:val="24"/>
          <w:szCs w:val="24"/>
        </w:rPr>
        <w:t>widerstreitende</w:t>
      </w:r>
      <w:r w:rsidRPr="005A14D6">
        <w:rPr>
          <w:sz w:val="24"/>
          <w:szCs w:val="24"/>
        </w:rPr>
        <w:t xml:space="preserve"> </w:t>
      </w:r>
      <w:r w:rsidR="00871053">
        <w:rPr>
          <w:sz w:val="24"/>
          <w:szCs w:val="24"/>
        </w:rPr>
        <w:t xml:space="preserve">(wirtschaftliche) </w:t>
      </w:r>
      <w:r w:rsidRPr="005A14D6">
        <w:rPr>
          <w:sz w:val="24"/>
          <w:szCs w:val="24"/>
        </w:rPr>
        <w:t>Interessen</w:t>
      </w:r>
      <w:r w:rsidR="00AD62E7" w:rsidRPr="005A14D6">
        <w:rPr>
          <w:sz w:val="24"/>
          <w:szCs w:val="24"/>
        </w:rPr>
        <w:t xml:space="preserve"> </w:t>
      </w:r>
    </w:p>
    <w:p w:rsidR="00C53096" w:rsidRDefault="00C53096" w:rsidP="00C53096">
      <w:pPr>
        <w:pStyle w:val="KeinLeerrau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Staatskirchenverträge</w:t>
      </w:r>
    </w:p>
    <w:p w:rsidR="008D3365" w:rsidRPr="005A14D6" w:rsidRDefault="00C8131C" w:rsidP="005D0C2F">
      <w:pPr>
        <w:pStyle w:val="KeinLeerraum"/>
        <w:spacing w:after="160"/>
        <w:ind w:left="1440"/>
        <w:rPr>
          <w:sz w:val="24"/>
          <w:szCs w:val="24"/>
        </w:rPr>
      </w:pPr>
      <w:r>
        <w:rPr>
          <w:sz w:val="24"/>
          <w:szCs w:val="24"/>
        </w:rPr>
        <w:t>Rechtsnatur, Beispiele und Regelungsbeispiele</w:t>
      </w:r>
    </w:p>
    <w:p w:rsidR="008D3365" w:rsidRPr="005A14D6" w:rsidRDefault="008D3365" w:rsidP="009B727F">
      <w:pPr>
        <w:pStyle w:val="KeinLeerraum"/>
        <w:numPr>
          <w:ilvl w:val="0"/>
          <w:numId w:val="2"/>
        </w:numPr>
        <w:rPr>
          <w:b/>
          <w:sz w:val="24"/>
          <w:szCs w:val="24"/>
        </w:rPr>
      </w:pPr>
      <w:r w:rsidRPr="005A14D6">
        <w:rPr>
          <w:b/>
          <w:sz w:val="24"/>
          <w:szCs w:val="24"/>
        </w:rPr>
        <w:t>Ausblick Staatskirchenrecht</w:t>
      </w:r>
    </w:p>
    <w:p w:rsidR="008D3365" w:rsidRPr="005A14D6" w:rsidRDefault="008D3365" w:rsidP="005D0C2F">
      <w:pPr>
        <w:pStyle w:val="KeinLeerraum"/>
        <w:spacing w:after="160"/>
        <w:ind w:left="1077"/>
        <w:rPr>
          <w:sz w:val="24"/>
          <w:szCs w:val="24"/>
        </w:rPr>
      </w:pPr>
      <w:r w:rsidRPr="005A14D6">
        <w:rPr>
          <w:sz w:val="24"/>
          <w:szCs w:val="24"/>
        </w:rPr>
        <w:t>Neue Herausforderungen durch multireligiöse Gesellschaft, unterschiedliche Modelle in einer zusammenwachsenden EU, Möglichkeiten und Grenzen einer Kooperation, Inhalt und Grenzen des Gleichbehandlungsgrundsatzes geg</w:t>
      </w:r>
      <w:r w:rsidR="00AD62E7" w:rsidRPr="005A14D6">
        <w:rPr>
          <w:sz w:val="24"/>
          <w:szCs w:val="24"/>
        </w:rPr>
        <w:t>enüber Religionsgemeinschaften</w:t>
      </w:r>
    </w:p>
    <w:p w:rsidR="008856EC" w:rsidRPr="00695583" w:rsidRDefault="0094279E" w:rsidP="008856EC">
      <w:pPr>
        <w:pStyle w:val="KeinLeerraum"/>
        <w:numPr>
          <w:ilvl w:val="0"/>
          <w:numId w:val="2"/>
        </w:numPr>
        <w:rPr>
          <w:b/>
        </w:rPr>
      </w:pPr>
      <w:r w:rsidRPr="00695583">
        <w:rPr>
          <w:b/>
          <w:sz w:val="24"/>
          <w:szCs w:val="24"/>
        </w:rPr>
        <w:t>Abschlussrunde und Feedback</w:t>
      </w:r>
    </w:p>
    <w:sectPr w:rsidR="008856EC" w:rsidRPr="00695583" w:rsidSect="001A4C10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22" w:rsidRDefault="00837722" w:rsidP="0094279E">
      <w:pPr>
        <w:spacing w:after="0" w:line="240" w:lineRule="auto"/>
      </w:pPr>
      <w:r>
        <w:separator/>
      </w:r>
    </w:p>
  </w:endnote>
  <w:endnote w:type="continuationSeparator" w:id="0">
    <w:p w:rsidR="00837722" w:rsidRDefault="00837722" w:rsidP="0094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906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4279E" w:rsidRPr="0094279E" w:rsidRDefault="0094279E">
        <w:pPr>
          <w:pStyle w:val="Fuzeile"/>
          <w:jc w:val="center"/>
          <w:rPr>
            <w:sz w:val="20"/>
            <w:szCs w:val="20"/>
          </w:rPr>
        </w:pPr>
        <w:r w:rsidRPr="0094279E">
          <w:rPr>
            <w:sz w:val="20"/>
            <w:szCs w:val="20"/>
          </w:rPr>
          <w:fldChar w:fldCharType="begin"/>
        </w:r>
        <w:r w:rsidRPr="0094279E">
          <w:rPr>
            <w:sz w:val="20"/>
            <w:szCs w:val="20"/>
          </w:rPr>
          <w:instrText>PAGE   \* MERGEFORMAT</w:instrText>
        </w:r>
        <w:r w:rsidRPr="0094279E">
          <w:rPr>
            <w:sz w:val="20"/>
            <w:szCs w:val="20"/>
          </w:rPr>
          <w:fldChar w:fldCharType="separate"/>
        </w:r>
        <w:r w:rsidR="007C0DEE">
          <w:rPr>
            <w:noProof/>
            <w:sz w:val="20"/>
            <w:szCs w:val="20"/>
          </w:rPr>
          <w:t>2</w:t>
        </w:r>
        <w:r w:rsidRPr="0094279E">
          <w:rPr>
            <w:sz w:val="20"/>
            <w:szCs w:val="20"/>
          </w:rPr>
          <w:fldChar w:fldCharType="end"/>
        </w:r>
      </w:p>
    </w:sdtContent>
  </w:sdt>
  <w:p w:rsidR="0094279E" w:rsidRDefault="009427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22" w:rsidRDefault="00837722" w:rsidP="0094279E">
      <w:pPr>
        <w:spacing w:after="0" w:line="240" w:lineRule="auto"/>
      </w:pPr>
      <w:r>
        <w:separator/>
      </w:r>
    </w:p>
  </w:footnote>
  <w:footnote w:type="continuationSeparator" w:id="0">
    <w:p w:rsidR="00837722" w:rsidRDefault="00837722" w:rsidP="0094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279E"/>
    <w:multiLevelType w:val="hybridMultilevel"/>
    <w:tmpl w:val="3D96044A"/>
    <w:lvl w:ilvl="0" w:tplc="25BAA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3233"/>
    <w:multiLevelType w:val="hybridMultilevel"/>
    <w:tmpl w:val="3D96044A"/>
    <w:lvl w:ilvl="0" w:tplc="25BAA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23B7"/>
    <w:multiLevelType w:val="hybridMultilevel"/>
    <w:tmpl w:val="C56C764C"/>
    <w:lvl w:ilvl="0" w:tplc="5C409B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DF18D9"/>
    <w:multiLevelType w:val="hybridMultilevel"/>
    <w:tmpl w:val="5798C05A"/>
    <w:lvl w:ilvl="0" w:tplc="7FCE9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4E"/>
    <w:rsid w:val="000139C2"/>
    <w:rsid w:val="00034681"/>
    <w:rsid w:val="00070AF9"/>
    <w:rsid w:val="000961DB"/>
    <w:rsid w:val="000A5295"/>
    <w:rsid w:val="001052ED"/>
    <w:rsid w:val="00174784"/>
    <w:rsid w:val="00191595"/>
    <w:rsid w:val="001A4C10"/>
    <w:rsid w:val="001D1CFB"/>
    <w:rsid w:val="002651FF"/>
    <w:rsid w:val="002779E2"/>
    <w:rsid w:val="002A3F85"/>
    <w:rsid w:val="002E0863"/>
    <w:rsid w:val="00305451"/>
    <w:rsid w:val="004024F6"/>
    <w:rsid w:val="004075F4"/>
    <w:rsid w:val="00412BED"/>
    <w:rsid w:val="00442C3B"/>
    <w:rsid w:val="0045002A"/>
    <w:rsid w:val="00470C7F"/>
    <w:rsid w:val="004C4559"/>
    <w:rsid w:val="00506473"/>
    <w:rsid w:val="00525901"/>
    <w:rsid w:val="00555B5E"/>
    <w:rsid w:val="005A14D6"/>
    <w:rsid w:val="005D0C2F"/>
    <w:rsid w:val="0066704E"/>
    <w:rsid w:val="00667E41"/>
    <w:rsid w:val="00686900"/>
    <w:rsid w:val="00695583"/>
    <w:rsid w:val="0071385A"/>
    <w:rsid w:val="007B10EB"/>
    <w:rsid w:val="007B197E"/>
    <w:rsid w:val="007C0DEE"/>
    <w:rsid w:val="007D1427"/>
    <w:rsid w:val="00804615"/>
    <w:rsid w:val="00837722"/>
    <w:rsid w:val="00871053"/>
    <w:rsid w:val="008856EC"/>
    <w:rsid w:val="008D2119"/>
    <w:rsid w:val="008D3365"/>
    <w:rsid w:val="008F10BB"/>
    <w:rsid w:val="008F6AEB"/>
    <w:rsid w:val="0094279E"/>
    <w:rsid w:val="009B727F"/>
    <w:rsid w:val="009C79A0"/>
    <w:rsid w:val="009E65C1"/>
    <w:rsid w:val="00A15DF2"/>
    <w:rsid w:val="00A308E4"/>
    <w:rsid w:val="00AB4390"/>
    <w:rsid w:val="00AD62E7"/>
    <w:rsid w:val="00AE2C7B"/>
    <w:rsid w:val="00AF2E00"/>
    <w:rsid w:val="00B75713"/>
    <w:rsid w:val="00B758D0"/>
    <w:rsid w:val="00B9023E"/>
    <w:rsid w:val="00C12463"/>
    <w:rsid w:val="00C53096"/>
    <w:rsid w:val="00C5384E"/>
    <w:rsid w:val="00C8131C"/>
    <w:rsid w:val="00D06AD8"/>
    <w:rsid w:val="00D33B12"/>
    <w:rsid w:val="00D50571"/>
    <w:rsid w:val="00DC11AB"/>
    <w:rsid w:val="00DC51E1"/>
    <w:rsid w:val="00DD2E25"/>
    <w:rsid w:val="00E0148B"/>
    <w:rsid w:val="00E66367"/>
    <w:rsid w:val="00ED1612"/>
    <w:rsid w:val="00F1195A"/>
    <w:rsid w:val="00F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D68A4-8A43-444F-83D1-7CA916E7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704E"/>
    <w:pPr>
      <w:ind w:left="720"/>
      <w:contextualSpacing/>
    </w:pPr>
  </w:style>
  <w:style w:type="paragraph" w:styleId="KeinLeerraum">
    <w:name w:val="No Spacing"/>
    <w:uiPriority w:val="1"/>
    <w:qFormat/>
    <w:rsid w:val="0066704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27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4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79E"/>
  </w:style>
  <w:style w:type="paragraph" w:styleId="Fuzeile">
    <w:name w:val="footer"/>
    <w:basedOn w:val="Standard"/>
    <w:link w:val="FuzeileZchn"/>
    <w:uiPriority w:val="99"/>
    <w:unhideWhenUsed/>
    <w:rsid w:val="0094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Landesrechnungshof Brandenburg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Seelemann</dc:creator>
  <cp:lastModifiedBy>EV-Uni-Potsdam</cp:lastModifiedBy>
  <cp:revision>2</cp:revision>
  <cp:lastPrinted>2021-07-27T09:39:00Z</cp:lastPrinted>
  <dcterms:created xsi:type="dcterms:W3CDTF">2021-09-15T12:47:00Z</dcterms:created>
  <dcterms:modified xsi:type="dcterms:W3CDTF">2021-09-15T12:47:00Z</dcterms:modified>
</cp:coreProperties>
</file>